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EC43F" w14:textId="77777777" w:rsidR="00312FA5" w:rsidRPr="008951BD" w:rsidRDefault="00312FA5" w:rsidP="00312FA5">
      <w:pPr>
        <w:tabs>
          <w:tab w:val="left" w:pos="3760"/>
        </w:tabs>
        <w:ind w:left="-284" w:right="-784" w:firstLine="4395"/>
        <w:jc w:val="right"/>
        <w:rPr>
          <w:rFonts w:eastAsia="Calibri"/>
          <w:i/>
          <w:szCs w:val="24"/>
          <w:lang w:eastAsia="lv-LV"/>
        </w:rPr>
      </w:pPr>
      <w:r w:rsidRPr="008951BD">
        <w:rPr>
          <w:rFonts w:eastAsia="Calibri"/>
          <w:i/>
          <w:szCs w:val="24"/>
          <w:lang w:eastAsia="lv-LV"/>
        </w:rPr>
        <w:t>APSTIPRINĀTS:</w:t>
      </w:r>
    </w:p>
    <w:p w14:paraId="6F2BA90F" w14:textId="44985D8E" w:rsidR="00312FA5" w:rsidRPr="008951BD" w:rsidRDefault="00312FA5" w:rsidP="00312FA5">
      <w:pPr>
        <w:tabs>
          <w:tab w:val="left" w:pos="3760"/>
        </w:tabs>
        <w:ind w:right="-78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Pr>
          <w:rFonts w:eastAsia="Arial Unicode MS"/>
          <w:i/>
          <w:szCs w:val="24"/>
          <w:lang w:eastAsia="lv-LV"/>
        </w:rPr>
        <w:t>2.decembra</w:t>
      </w:r>
      <w:r w:rsidRPr="008951BD">
        <w:rPr>
          <w:rFonts w:eastAsia="Arial Unicode MS"/>
          <w:i/>
          <w:szCs w:val="24"/>
          <w:lang w:eastAsia="lv-LV"/>
        </w:rPr>
        <w:t xml:space="preserve"> </w:t>
      </w:r>
    </w:p>
    <w:p w14:paraId="79018E2B" w14:textId="528A9699" w:rsidR="00312FA5" w:rsidRDefault="00312FA5" w:rsidP="00312FA5">
      <w:pPr>
        <w:ind w:right="-784"/>
        <w:jc w:val="right"/>
        <w:rPr>
          <w:rFonts w:eastAsia="Arial Unicode MS"/>
          <w:i/>
          <w:szCs w:val="24"/>
          <w:lang w:eastAsia="lv-LV"/>
        </w:rPr>
      </w:pPr>
      <w:r w:rsidRPr="008951BD">
        <w:rPr>
          <w:rFonts w:eastAsia="Arial Unicode MS"/>
          <w:i/>
          <w:szCs w:val="24"/>
          <w:lang w:eastAsia="lv-LV"/>
        </w:rPr>
        <w:t>sēdes protokolu Nr.</w:t>
      </w:r>
      <w:r>
        <w:rPr>
          <w:rFonts w:eastAsia="Arial Unicode MS"/>
          <w:i/>
          <w:szCs w:val="24"/>
          <w:lang w:eastAsia="lv-LV"/>
        </w:rPr>
        <w:t>2</w:t>
      </w:r>
    </w:p>
    <w:p w14:paraId="29C05828" w14:textId="5302B193" w:rsidR="00312FA5" w:rsidRDefault="00312FA5" w:rsidP="00312FA5">
      <w:pPr>
        <w:ind w:right="-784"/>
        <w:jc w:val="right"/>
        <w:rPr>
          <w:rFonts w:eastAsia="Arial Unicode MS"/>
          <w:i/>
          <w:szCs w:val="24"/>
          <w:lang w:eastAsia="lv-LV"/>
        </w:rPr>
      </w:pPr>
    </w:p>
    <w:p w14:paraId="039D28FB" w14:textId="77777777" w:rsidR="00312FA5" w:rsidRPr="006D0793" w:rsidRDefault="00312FA5" w:rsidP="00312FA5">
      <w:pPr>
        <w:jc w:val="center"/>
        <w:rPr>
          <w:b/>
        </w:rPr>
      </w:pPr>
      <w:r w:rsidRPr="006D0793">
        <w:rPr>
          <w:b/>
        </w:rPr>
        <w:t>VAS </w:t>
      </w:r>
      <w:r w:rsidRPr="006D0793">
        <w:rPr>
          <w:b/>
          <w:color w:val="222222"/>
        </w:rPr>
        <w:t>„</w:t>
      </w:r>
      <w:r w:rsidRPr="006D0793">
        <w:rPr>
          <w:b/>
        </w:rPr>
        <w:t>Latvijas dzelzceļš”</w:t>
      </w:r>
    </w:p>
    <w:p w14:paraId="3F39DC55" w14:textId="77777777" w:rsidR="00312FA5" w:rsidRPr="006D0793" w:rsidRDefault="00312FA5" w:rsidP="00312FA5">
      <w:pPr>
        <w:ind w:left="142" w:right="-1"/>
        <w:jc w:val="center"/>
        <w:rPr>
          <w:b/>
        </w:rPr>
      </w:pPr>
      <w:r w:rsidRPr="006D0793">
        <w:rPr>
          <w:b/>
        </w:rPr>
        <w:t>sarunu procedūras ar publikāciju</w:t>
      </w:r>
    </w:p>
    <w:p w14:paraId="29C676BB" w14:textId="77777777" w:rsidR="00312FA5" w:rsidRPr="00AD6493" w:rsidRDefault="00312FA5" w:rsidP="00312FA5">
      <w:pPr>
        <w:ind w:left="284" w:right="282"/>
        <w:jc w:val="center"/>
        <w:rPr>
          <w:b/>
          <w:bCs/>
          <w:szCs w:val="24"/>
        </w:rPr>
      </w:pPr>
      <w:r w:rsidRPr="00AD6493">
        <w:rPr>
          <w:b/>
          <w:bCs/>
          <w:color w:val="222222"/>
          <w:szCs w:val="24"/>
        </w:rPr>
        <w:t>„</w:t>
      </w:r>
      <w:r w:rsidRPr="00AD6493">
        <w:rPr>
          <w:b/>
          <w:bCs/>
          <w:szCs w:val="24"/>
        </w:rPr>
        <w:t>Vilces pakalpojums Latvijas pierobežas iecirkņos</w:t>
      </w:r>
    </w:p>
    <w:p w14:paraId="3DC5B335" w14:textId="77777777" w:rsidR="00312FA5" w:rsidRPr="00195565" w:rsidRDefault="00312FA5" w:rsidP="00312FA5">
      <w:pPr>
        <w:ind w:left="284" w:right="282"/>
        <w:jc w:val="center"/>
        <w:rPr>
          <w:b/>
          <w:bCs/>
          <w:color w:val="222222"/>
          <w:szCs w:val="24"/>
        </w:rPr>
      </w:pPr>
      <w:r w:rsidRPr="00AD6493">
        <w:rPr>
          <w:b/>
          <w:bCs/>
          <w:szCs w:val="24"/>
        </w:rPr>
        <w:t xml:space="preserve"> </w:t>
      </w:r>
      <w:r w:rsidRPr="00195565">
        <w:rPr>
          <w:b/>
          <w:bCs/>
          <w:szCs w:val="24"/>
        </w:rPr>
        <w:t>līdz pieņemšanas/nodošanas dzelzceļa stacijām</w:t>
      </w:r>
      <w:r w:rsidRPr="00195565">
        <w:rPr>
          <w:b/>
          <w:bCs/>
          <w:color w:val="222222"/>
          <w:szCs w:val="24"/>
        </w:rPr>
        <w:t>”</w:t>
      </w:r>
    </w:p>
    <w:p w14:paraId="6478D8D6" w14:textId="77777777" w:rsidR="00312FA5" w:rsidRPr="001E3C08" w:rsidRDefault="00312FA5" w:rsidP="00312FA5">
      <w:pPr>
        <w:ind w:left="284" w:right="282"/>
        <w:jc w:val="center"/>
        <w:rPr>
          <w:bCs/>
          <w:color w:val="222222"/>
          <w:szCs w:val="24"/>
        </w:rPr>
      </w:pPr>
      <w:r w:rsidRPr="00195565">
        <w:rPr>
          <w:bCs/>
          <w:szCs w:val="24"/>
        </w:rPr>
        <w:t>(turpmāk – sarunu procedūra)</w:t>
      </w:r>
    </w:p>
    <w:p w14:paraId="0B2368C1" w14:textId="77777777" w:rsidR="00312FA5" w:rsidRPr="00E57F1F" w:rsidRDefault="00312FA5" w:rsidP="00312FA5">
      <w:pPr>
        <w:ind w:left="284" w:right="282"/>
        <w:jc w:val="center"/>
        <w:rPr>
          <w:rFonts w:eastAsia="Calibri"/>
          <w:b/>
          <w:highlight w:val="yellow"/>
        </w:rPr>
      </w:pPr>
    </w:p>
    <w:p w14:paraId="687673E0" w14:textId="77777777" w:rsidR="00312FA5" w:rsidRPr="006D0793" w:rsidRDefault="00312FA5" w:rsidP="00312FA5">
      <w:pPr>
        <w:ind w:left="284" w:right="282"/>
        <w:jc w:val="center"/>
        <w:rPr>
          <w:rFonts w:eastAsia="Calibri"/>
          <w:b/>
        </w:rPr>
      </w:pPr>
      <w:r w:rsidRPr="006D0793">
        <w:rPr>
          <w:rFonts w:eastAsia="Calibri"/>
          <w:b/>
        </w:rPr>
        <w:t>Skaidrojums Nr.1</w:t>
      </w:r>
    </w:p>
    <w:p w14:paraId="23484852" w14:textId="77777777" w:rsidR="00312FA5" w:rsidRPr="00E57F1F" w:rsidRDefault="00312FA5" w:rsidP="00312FA5">
      <w:pPr>
        <w:ind w:left="284" w:right="282"/>
        <w:jc w:val="center"/>
        <w:rPr>
          <w:rFonts w:eastAsia="Calibri"/>
          <w:b/>
          <w:highlight w:val="yellow"/>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4536"/>
      </w:tblGrid>
      <w:tr w:rsidR="00312FA5" w:rsidRPr="005B77F6" w14:paraId="124ECF32" w14:textId="77777777" w:rsidTr="00312FA5">
        <w:trPr>
          <w:trHeight w:val="655"/>
        </w:trPr>
        <w:tc>
          <w:tcPr>
            <w:tcW w:w="851" w:type="dxa"/>
            <w:shd w:val="clear" w:color="auto" w:fill="FFF2CC"/>
            <w:vAlign w:val="center"/>
          </w:tcPr>
          <w:p w14:paraId="270B3381" w14:textId="77777777" w:rsidR="00312FA5" w:rsidRPr="005B77F6" w:rsidRDefault="00312FA5" w:rsidP="007E0EA9">
            <w:pPr>
              <w:contextualSpacing/>
              <w:jc w:val="center"/>
              <w:rPr>
                <w:rFonts w:eastAsia="Calibri"/>
                <w:b/>
                <w:szCs w:val="24"/>
              </w:rPr>
            </w:pPr>
            <w:r w:rsidRPr="005B77F6">
              <w:rPr>
                <w:rFonts w:eastAsia="Calibri"/>
                <w:b/>
                <w:szCs w:val="24"/>
              </w:rPr>
              <w:t>Nr.</w:t>
            </w:r>
          </w:p>
          <w:p w14:paraId="73C39ACD" w14:textId="77777777" w:rsidR="00312FA5" w:rsidRPr="005B77F6" w:rsidRDefault="00312FA5" w:rsidP="007E0EA9">
            <w:pPr>
              <w:contextualSpacing/>
              <w:jc w:val="center"/>
              <w:rPr>
                <w:rFonts w:eastAsia="Calibri"/>
                <w:b/>
                <w:szCs w:val="24"/>
              </w:rPr>
            </w:pPr>
            <w:r w:rsidRPr="005B77F6">
              <w:rPr>
                <w:rFonts w:eastAsia="Calibri"/>
                <w:b/>
                <w:szCs w:val="24"/>
              </w:rPr>
              <w:t>p.k.</w:t>
            </w:r>
          </w:p>
        </w:tc>
        <w:tc>
          <w:tcPr>
            <w:tcW w:w="4252" w:type="dxa"/>
            <w:shd w:val="clear" w:color="auto" w:fill="FFF2CC"/>
            <w:vAlign w:val="center"/>
          </w:tcPr>
          <w:p w14:paraId="32169A7E" w14:textId="77777777" w:rsidR="00312FA5" w:rsidRPr="005B77F6" w:rsidRDefault="00312FA5" w:rsidP="007E0EA9">
            <w:pPr>
              <w:contextualSpacing/>
              <w:jc w:val="center"/>
              <w:rPr>
                <w:rFonts w:eastAsia="Calibri"/>
                <w:b/>
                <w:i/>
                <w:szCs w:val="24"/>
              </w:rPr>
            </w:pPr>
            <w:r w:rsidRPr="005B77F6">
              <w:rPr>
                <w:rFonts w:eastAsia="Calibri"/>
                <w:b/>
                <w:i/>
                <w:szCs w:val="24"/>
              </w:rPr>
              <w:t>Jautājums</w:t>
            </w:r>
          </w:p>
        </w:tc>
        <w:tc>
          <w:tcPr>
            <w:tcW w:w="4536" w:type="dxa"/>
            <w:shd w:val="clear" w:color="auto" w:fill="FFF2CC"/>
            <w:vAlign w:val="center"/>
          </w:tcPr>
          <w:p w14:paraId="28319C88" w14:textId="77777777" w:rsidR="00312FA5" w:rsidRPr="005B77F6" w:rsidRDefault="00312FA5" w:rsidP="007E0EA9">
            <w:pPr>
              <w:contextualSpacing/>
              <w:jc w:val="center"/>
              <w:rPr>
                <w:rFonts w:eastAsia="Calibri"/>
                <w:b/>
                <w:i/>
                <w:szCs w:val="24"/>
              </w:rPr>
            </w:pPr>
            <w:r w:rsidRPr="005B77F6">
              <w:rPr>
                <w:rFonts w:eastAsia="Calibri"/>
                <w:b/>
                <w:i/>
                <w:szCs w:val="24"/>
              </w:rPr>
              <w:t>Atbilde</w:t>
            </w:r>
          </w:p>
        </w:tc>
      </w:tr>
      <w:tr w:rsidR="00312FA5" w:rsidRPr="005B77F6" w14:paraId="615FE118" w14:textId="77777777" w:rsidTr="00312FA5">
        <w:trPr>
          <w:trHeight w:val="839"/>
        </w:trPr>
        <w:tc>
          <w:tcPr>
            <w:tcW w:w="851" w:type="dxa"/>
            <w:shd w:val="clear" w:color="auto" w:fill="auto"/>
          </w:tcPr>
          <w:p w14:paraId="746F7712" w14:textId="77777777" w:rsidR="00312FA5" w:rsidRPr="005B77F6" w:rsidRDefault="00312FA5" w:rsidP="007E0EA9">
            <w:pPr>
              <w:contextualSpacing/>
              <w:jc w:val="center"/>
              <w:rPr>
                <w:rFonts w:eastAsia="Calibri"/>
                <w:szCs w:val="24"/>
              </w:rPr>
            </w:pPr>
            <w:r w:rsidRPr="005B77F6">
              <w:rPr>
                <w:rFonts w:eastAsia="Calibri"/>
                <w:szCs w:val="24"/>
              </w:rPr>
              <w:t>1.</w:t>
            </w:r>
          </w:p>
        </w:tc>
        <w:tc>
          <w:tcPr>
            <w:tcW w:w="4252" w:type="dxa"/>
            <w:shd w:val="clear" w:color="auto" w:fill="auto"/>
          </w:tcPr>
          <w:p w14:paraId="7337D96F" w14:textId="77777777" w:rsidR="00312FA5" w:rsidRPr="00AA52B0" w:rsidRDefault="00312FA5" w:rsidP="007E0EA9">
            <w:pPr>
              <w:rPr>
                <w:szCs w:val="24"/>
              </w:rPr>
            </w:pPr>
            <w:r w:rsidRPr="00AA52B0">
              <w:rPr>
                <w:szCs w:val="24"/>
              </w:rPr>
              <w:t xml:space="preserve">Nolikuma 2.pielikumā 2.punktā ir norādīts, ka noformējot Finanšu piedāvājumu pretendentam ir jānorāda kopējo izmaksu atšifrējumu, norādot no trešajām personām plānotās iekasējamās izmaksas. Vienlaikus ir norādīts, ka pakalpojuma sniegšanas kopējās izmaksas jāatspoguļo, paredzot vairākas izmaksu pozīcijas (minētas 1.punktā a) - f) apakšpunktos). </w:t>
            </w:r>
          </w:p>
          <w:p w14:paraId="409D66BE" w14:textId="77777777" w:rsidR="00312FA5" w:rsidRPr="00AA52B0" w:rsidRDefault="00312FA5" w:rsidP="007E0EA9">
            <w:pPr>
              <w:rPr>
                <w:szCs w:val="24"/>
              </w:rPr>
            </w:pPr>
            <w:r w:rsidRPr="00AA52B0">
              <w:rPr>
                <w:szCs w:val="24"/>
              </w:rPr>
              <w:t xml:space="preserve">Vai norādot pakalpojuma cenu, kurā ir iekļautas no trešajām personām plānotās iekasējamās izmaksas, pretendentam jānorāda šo trešo personu sniegto pakalpojumu cenas izmaksu pozīcijas? Nolikuma 2.pielikumā 2.punktā ir norādīts, ka pretendentam atsevišķi ir jānorāda (1) cena par vienu pakalpojuma stundu par vienas lokomotīves izmantošanu, (2) cena par vienu pakalpojuma stundu par lokomotīves brigādes darbu, (3) citas izmaksas. Savukārt Nolikuma 6.pielikuma (līguma projekts) 2.6.punktā ir norādīts, ka: “2.6. Vilces pakalpojums ietver vilci (lokomotīvju un lokomotīvju brigāžu darbu), lokomotīvju un lokomotīvju brigāžu apkalpošanu, pakalpojuma uzskaiti, kustības drošības prasību ievērošanas nodrošināšanu, norēķinu ar Izpildītāja apakšuzņēmējiem, t.sk., kaimiņvalstu dzelzceļa uzņēmumiem, nodrošināšanu”. Nolikuma 1.8.1.punktā un līguma projekta 4.3.punktā norādīts, ka pakalpojuma cenā jābūt iekļautām visām izmaksām, kas saistītas ar pakalpojuma </w:t>
            </w:r>
            <w:r w:rsidRPr="00AA52B0">
              <w:rPr>
                <w:szCs w:val="24"/>
              </w:rPr>
              <w:lastRenderedPageBreak/>
              <w:t>izpildi, t.sk., lokomotīves izmantošanas izmaksas, lokomotīves brigādes darba un apkalpošanas izmaksas, personāla un administratīvās izmaksas, sociālais u.c. nodokļi (izņemot PVN) saskaņā ar Latvijas Republikas tiesību aktiem, pieskaitāmās izmaksas, ar peļņu un riska faktoriem saistītās izmaksas, neparedzamie izdevumi u.tml.”.</w:t>
            </w:r>
          </w:p>
        </w:tc>
        <w:tc>
          <w:tcPr>
            <w:tcW w:w="4536" w:type="dxa"/>
            <w:shd w:val="clear" w:color="auto" w:fill="auto"/>
          </w:tcPr>
          <w:p w14:paraId="717B64C2" w14:textId="77777777" w:rsidR="00312FA5" w:rsidRPr="00857F1E" w:rsidRDefault="00312FA5" w:rsidP="007E0EA9">
            <w:pPr>
              <w:tabs>
                <w:tab w:val="left" w:pos="8789"/>
              </w:tabs>
              <w:ind w:left="29" w:right="31"/>
            </w:pPr>
            <w:r w:rsidRPr="00857F1E">
              <w:lastRenderedPageBreak/>
              <w:t xml:space="preserve">Ar VAS </w:t>
            </w:r>
            <w:r w:rsidRPr="00857F1E">
              <w:rPr>
                <w:szCs w:val="24"/>
              </w:rPr>
              <w:t>„</w:t>
            </w:r>
            <w:r w:rsidRPr="00857F1E">
              <w:t xml:space="preserve">Latvijas dzelzceļš” 05.07.2021. Valdes lēmumu Nr. VL-34/246 apstiprinātā </w:t>
            </w:r>
            <w:r w:rsidRPr="00AF367E">
              <w:rPr>
                <w:i/>
                <w:iCs/>
                <w:szCs w:val="24"/>
              </w:rPr>
              <w:t>„</w:t>
            </w:r>
            <w:r w:rsidRPr="00AF367E">
              <w:rPr>
                <w:i/>
                <w:iCs/>
              </w:rPr>
              <w:t>Detalizēta kārtība, kādā tiek nodrošināta vagonu uzskaite un pārrobežu pārvadājumi Latvijas teritorijā pierobežas iecirkņos līdz pieņemšanas/nodošanas stacijām”</w:t>
            </w:r>
            <w:r w:rsidRPr="00857F1E">
              <w:t xml:space="preserve"> (turpmāk – Kārtība) ir izstrādāta, pamatojoties uz Ministru kabineta 25.08.2020. noteikumu Nr. 540 </w:t>
            </w:r>
            <w:r w:rsidRPr="00AF367E">
              <w:rPr>
                <w:i/>
                <w:iCs/>
                <w:szCs w:val="24"/>
              </w:rPr>
              <w:t>„</w:t>
            </w:r>
            <w:r w:rsidRPr="00AF367E">
              <w:rPr>
                <w:i/>
                <w:iCs/>
              </w:rPr>
              <w:t>Noteikumi par publiskās lietošanas dzelzceļa infrastruktūras pārvaldītāja sniegtajiem pakalpojumiem pierobežas iecirkņos”</w:t>
            </w:r>
            <w:r w:rsidRPr="00857F1E">
              <w:t xml:space="preserve"> prasībām, un Kārtības 4.2.punkts paredz:</w:t>
            </w:r>
          </w:p>
          <w:p w14:paraId="25D5493C" w14:textId="77777777" w:rsidR="00312FA5" w:rsidRPr="00AF367E" w:rsidRDefault="00312FA5" w:rsidP="007E0EA9">
            <w:pPr>
              <w:tabs>
                <w:tab w:val="left" w:pos="8789"/>
              </w:tabs>
              <w:ind w:left="29" w:right="31"/>
              <w:rPr>
                <w:i/>
                <w:iCs/>
              </w:rPr>
            </w:pPr>
            <w:r w:rsidRPr="00AF367E">
              <w:rPr>
                <w:i/>
                <w:iCs/>
                <w:szCs w:val="24"/>
              </w:rPr>
              <w:t>„</w:t>
            </w:r>
            <w:r w:rsidRPr="00AF367E">
              <w:rPr>
                <w:i/>
                <w:iCs/>
              </w:rPr>
              <w:t xml:space="preserve">vilces pakalpojumu (ārpakalpojuma) sniedzējiem ir pienākums nodrošināt Kārtības 2.6.punktā noteikto Vilces pakalpojumu sniegšanu vilces pakalpojuma pieteicējam, </w:t>
            </w:r>
            <w:r w:rsidRPr="00AF367E">
              <w:rPr>
                <w:i/>
                <w:iCs/>
                <w:u w:val="single"/>
              </w:rPr>
              <w:t>nosakot Vilces pakalpojuma maksu un šīs maksas veidojošo atsevišķo komponenšu izmaksas,</w:t>
            </w:r>
            <w:r w:rsidRPr="00AF367E">
              <w:rPr>
                <w:i/>
                <w:iCs/>
              </w:rPr>
              <w:t xml:space="preserve"> kas nepārsniedz publiskajā iepirkumā norādītās vilces pakalpojuma sniedzēja faktiskās izmaksas, kam pieskaitīta samērīga peļņa …”</w:t>
            </w:r>
          </w:p>
          <w:p w14:paraId="026745DD" w14:textId="77777777" w:rsidR="00312FA5" w:rsidRDefault="00312FA5" w:rsidP="007E0EA9">
            <w:pPr>
              <w:tabs>
                <w:tab w:val="left" w:pos="8789"/>
              </w:tabs>
              <w:ind w:left="29" w:right="31"/>
              <w:contextualSpacing/>
              <w:rPr>
                <w:rFonts w:ascii="Arial Narrow" w:hAnsi="Arial Narrow" w:cs="EMBEDDE D_ 22+ Arial"/>
              </w:rPr>
            </w:pPr>
            <w:r w:rsidRPr="00857F1E">
              <w:t xml:space="preserve">Sarunu procedūras nolikuma 2.pielikumā norādītajā iesniedzamajā finanšu piedāvājumā, kurš sastāv no 3 (trīs) pakalpojuma maksām - lokomotīves izmantošanas maksa, lokomotīvju brigādes darba maksa, pakalpojuma sniegšanas un norēķinu citas izmaksas (turpmāk sauktas arī - vilces pakalpojuma komponenšu maksas), pretendentam ir jānorāda vilces pakalpojuma piedāvājuma kopējās izmaksas (EUR, bez PVN), kas iekļautas vilces pakalpojuma komponenšu maksu aprēķinā, atbilstoši sarunu procedūras nolikuma 2.pielikumā </w:t>
            </w:r>
            <w:r w:rsidRPr="00857F1E">
              <w:lastRenderedPageBreak/>
              <w:t>finanšu piedāvājumā norādītajām izmaksu pozīcijām.  Šāds pakalpojumā iekļauto faktisko izmaksu atšifrējums tiks izmantots tikai iesniegtā piedāvājuma izmaksu atbilstības novērtējumam.</w:t>
            </w:r>
          </w:p>
          <w:p w14:paraId="4EEFD233" w14:textId="77777777" w:rsidR="00312FA5" w:rsidRPr="00AF367E" w:rsidRDefault="00312FA5" w:rsidP="007E0EA9">
            <w:pPr>
              <w:pStyle w:val="Sarakstarindkopa"/>
              <w:ind w:left="29" w:right="31"/>
              <w:jc w:val="both"/>
              <w:rPr>
                <w:color w:val="0070C0"/>
                <w:sz w:val="24"/>
                <w:szCs w:val="24"/>
              </w:rPr>
            </w:pPr>
            <w:r w:rsidRPr="00AF367E">
              <w:rPr>
                <w:sz w:val="24"/>
                <w:szCs w:val="24"/>
              </w:rPr>
              <w:t xml:space="preserve">Pretendentam jāiesniedz finanšu piedāvājums atbilstoši sarunu procedūras nolikuma 2.pielikumā norādītajai finanšu piedāvājuma formai, izdalot vilces pakalpojuma komponenšu maksas, bet sarunu </w:t>
            </w:r>
            <w:r w:rsidRPr="00F74867">
              <w:rPr>
                <w:sz w:val="24"/>
                <w:szCs w:val="24"/>
              </w:rPr>
              <w:t>procedūras nolikuma 6.pielikuma līguma projekta 2.6.punktā ir norādīts vilces pakalpojuma piedāvājumā iekļaujamo izmaksu saturs, kas tiek ņemtas vērā nosakot vilces pakalpojuma komponenšu maksas un vilces pakalpojuma kopējās izmaksas.</w:t>
            </w:r>
          </w:p>
        </w:tc>
      </w:tr>
      <w:tr w:rsidR="00312FA5" w:rsidRPr="005B77F6" w14:paraId="33BE8389" w14:textId="77777777" w:rsidTr="00312FA5">
        <w:trPr>
          <w:trHeight w:val="839"/>
        </w:trPr>
        <w:tc>
          <w:tcPr>
            <w:tcW w:w="851" w:type="dxa"/>
            <w:shd w:val="clear" w:color="auto" w:fill="auto"/>
          </w:tcPr>
          <w:p w14:paraId="364B3C26" w14:textId="77777777" w:rsidR="00312FA5" w:rsidRPr="005B77F6" w:rsidRDefault="00312FA5" w:rsidP="007E0EA9">
            <w:pPr>
              <w:contextualSpacing/>
              <w:jc w:val="center"/>
              <w:rPr>
                <w:rFonts w:eastAsia="Calibri"/>
                <w:szCs w:val="24"/>
              </w:rPr>
            </w:pPr>
            <w:r>
              <w:rPr>
                <w:rFonts w:eastAsia="Calibri"/>
                <w:szCs w:val="24"/>
              </w:rPr>
              <w:lastRenderedPageBreak/>
              <w:t>2.</w:t>
            </w:r>
          </w:p>
        </w:tc>
        <w:tc>
          <w:tcPr>
            <w:tcW w:w="4252" w:type="dxa"/>
            <w:shd w:val="clear" w:color="auto" w:fill="auto"/>
          </w:tcPr>
          <w:p w14:paraId="7F4F3CE4" w14:textId="77777777" w:rsidR="00312FA5" w:rsidRPr="00AA52B0" w:rsidRDefault="00312FA5" w:rsidP="007E0EA9">
            <w:pPr>
              <w:rPr>
                <w:i/>
                <w:iCs/>
                <w:szCs w:val="24"/>
              </w:rPr>
            </w:pPr>
            <w:r w:rsidRPr="00AA52B0">
              <w:rPr>
                <w:szCs w:val="24"/>
              </w:rPr>
              <w:t xml:space="preserve">Vai visas nolikuma 1.8.1.punktā un līguma projekta 2.6., 4.3. punktā norādītās izmaksas, izņemot par vilci, ir jāiekļauj finanšu piedāvājuma pozīcijā “citas </w:t>
            </w:r>
            <w:r w:rsidRPr="00966DAE">
              <w:rPr>
                <w:szCs w:val="24"/>
              </w:rPr>
              <w:t xml:space="preserve">izmaksas”? </w:t>
            </w:r>
            <w:r w:rsidRPr="00966DAE">
              <w:rPr>
                <w:i/>
                <w:iCs/>
                <w:szCs w:val="24"/>
              </w:rPr>
              <w:t>(Ja atbilde uz 2.jautājumu ir apstiprinoša, Finanšu piedāvājuma sagatavošanai nepieciešams saņemt atbildi uz 3. un 4.jautājumu).</w:t>
            </w:r>
          </w:p>
        </w:tc>
        <w:tc>
          <w:tcPr>
            <w:tcW w:w="4536" w:type="dxa"/>
            <w:shd w:val="clear" w:color="auto" w:fill="auto"/>
          </w:tcPr>
          <w:p w14:paraId="1DDFF4C9" w14:textId="77777777" w:rsidR="00312FA5" w:rsidRPr="00985877" w:rsidRDefault="00312FA5" w:rsidP="007E0EA9">
            <w:pPr>
              <w:pStyle w:val="Sarakstarindkopa"/>
              <w:ind w:left="0" w:right="31"/>
              <w:jc w:val="both"/>
              <w:rPr>
                <w:color w:val="0070C0"/>
                <w:sz w:val="24"/>
                <w:szCs w:val="24"/>
              </w:rPr>
            </w:pPr>
            <w:r w:rsidRPr="00985877">
              <w:rPr>
                <w:sz w:val="24"/>
                <w:szCs w:val="24"/>
              </w:rPr>
              <w:t xml:space="preserve">Pretendentam sarunu procedūras nolikuma 2.pielikuma finanšu piedāvājumā norādītajās komponentēs jāiekļauj visas pretendenta ar sarunu procedūras priekšmetā minētā pakalpojuma sniegšanu saistītās izmaksas, t.sk., ritošā sastāva (lokomotīves) izmantošanas izmaksas, lokomotīves brigādes darba un pakalpojumu nodrošināšanas izmaksas, šīs izmaksas attiecīgi attiecinot konkrētai vilces pakalpojuma maksas komponentei (lokomotīvju, lokomotīvju brigādes un citām izmaksām), kas attiecīgi veidos maksas lielumu vienai nosacītai pārvadājumu vienībai (stundai vai fiksētas mēneša izmaksas). Pretendentam jāattiecina vilces pakalpojuma izmaksas attiecīgām piedāvājumā iekļautajām vilces pakalpojuma komponenšu maksām saskaņā ar pretendenta izvēlēto sniedzamo pakalpojumu maksas kalkulāciju. </w:t>
            </w:r>
          </w:p>
        </w:tc>
      </w:tr>
      <w:tr w:rsidR="00312FA5" w:rsidRPr="005B77F6" w14:paraId="793287BC" w14:textId="77777777" w:rsidTr="00312FA5">
        <w:trPr>
          <w:trHeight w:val="558"/>
        </w:trPr>
        <w:tc>
          <w:tcPr>
            <w:tcW w:w="851" w:type="dxa"/>
            <w:shd w:val="clear" w:color="auto" w:fill="auto"/>
          </w:tcPr>
          <w:p w14:paraId="2EC8E14F" w14:textId="77777777" w:rsidR="00312FA5" w:rsidRPr="005B77F6" w:rsidRDefault="00312FA5" w:rsidP="007E0EA9">
            <w:pPr>
              <w:contextualSpacing/>
              <w:jc w:val="center"/>
              <w:rPr>
                <w:rFonts w:eastAsia="Calibri"/>
                <w:szCs w:val="24"/>
              </w:rPr>
            </w:pPr>
            <w:r>
              <w:rPr>
                <w:rFonts w:eastAsia="Calibri"/>
                <w:szCs w:val="24"/>
              </w:rPr>
              <w:t>3.</w:t>
            </w:r>
          </w:p>
        </w:tc>
        <w:tc>
          <w:tcPr>
            <w:tcW w:w="4252" w:type="dxa"/>
            <w:shd w:val="clear" w:color="auto" w:fill="auto"/>
          </w:tcPr>
          <w:p w14:paraId="6B785290" w14:textId="77777777" w:rsidR="00312FA5" w:rsidRPr="00403CF3" w:rsidRDefault="00312FA5" w:rsidP="007E0EA9">
            <w:pPr>
              <w:rPr>
                <w:szCs w:val="24"/>
              </w:rPr>
            </w:pPr>
            <w:r w:rsidRPr="00403CF3">
              <w:rPr>
                <w:szCs w:val="24"/>
              </w:rPr>
              <w:t xml:space="preserve">Kā tika aprēķināts maksimālais pakalpojuma apjoms, - cik kopā paredzētas pakalpojuma stundas [lok. brigādes] + [lok. izmantošana] gadā? </w:t>
            </w:r>
          </w:p>
        </w:tc>
        <w:tc>
          <w:tcPr>
            <w:tcW w:w="4536" w:type="dxa"/>
            <w:shd w:val="clear" w:color="auto" w:fill="auto"/>
          </w:tcPr>
          <w:p w14:paraId="0204475E" w14:textId="77777777" w:rsidR="00312FA5" w:rsidRPr="00403CF3" w:rsidRDefault="00312FA5" w:rsidP="007E0EA9">
            <w:pPr>
              <w:ind w:right="31"/>
            </w:pPr>
            <w:r w:rsidRPr="00403CF3">
              <w:t xml:space="preserve">Skaidrojam, ka </w:t>
            </w:r>
            <w:r>
              <w:t xml:space="preserve">sarunu procedūras priekšmetā minētā </w:t>
            </w:r>
            <w:r w:rsidRPr="00403CF3">
              <w:t>pakalpojuma prognozējamais apjoms aprēķināts balstoties uz iepriekšējo gadu tirgus izpētes rezultātiem.</w:t>
            </w:r>
          </w:p>
        </w:tc>
      </w:tr>
      <w:tr w:rsidR="00312FA5" w:rsidRPr="005B77F6" w14:paraId="0912B82F" w14:textId="77777777" w:rsidTr="00312FA5">
        <w:trPr>
          <w:trHeight w:val="639"/>
        </w:trPr>
        <w:tc>
          <w:tcPr>
            <w:tcW w:w="851" w:type="dxa"/>
            <w:shd w:val="clear" w:color="auto" w:fill="auto"/>
          </w:tcPr>
          <w:p w14:paraId="228E260C" w14:textId="77777777" w:rsidR="00312FA5" w:rsidRPr="005B77F6" w:rsidRDefault="00312FA5" w:rsidP="007E0EA9">
            <w:pPr>
              <w:contextualSpacing/>
              <w:jc w:val="center"/>
              <w:rPr>
                <w:rFonts w:eastAsia="Calibri"/>
                <w:szCs w:val="24"/>
              </w:rPr>
            </w:pPr>
            <w:r>
              <w:rPr>
                <w:rFonts w:eastAsia="Calibri"/>
                <w:szCs w:val="24"/>
              </w:rPr>
              <w:t>4.</w:t>
            </w:r>
          </w:p>
        </w:tc>
        <w:tc>
          <w:tcPr>
            <w:tcW w:w="4252" w:type="dxa"/>
            <w:shd w:val="clear" w:color="auto" w:fill="auto"/>
          </w:tcPr>
          <w:p w14:paraId="42565062" w14:textId="77777777" w:rsidR="00312FA5" w:rsidRPr="00AA52B0" w:rsidRDefault="00312FA5" w:rsidP="007E0EA9">
            <w:pPr>
              <w:pStyle w:val="Sarakstarindkopa"/>
              <w:ind w:left="0"/>
              <w:jc w:val="both"/>
              <w:rPr>
                <w:b/>
                <w:sz w:val="24"/>
                <w:szCs w:val="24"/>
              </w:rPr>
            </w:pPr>
            <w:r w:rsidRPr="00AA52B0">
              <w:rPr>
                <w:sz w:val="24"/>
                <w:szCs w:val="24"/>
              </w:rPr>
              <w:t>Vai izmaksu pozīcija “citas izmaksas” tiks iekļauta līgumcenā kā patstāvīga mēneša maksa?</w:t>
            </w:r>
          </w:p>
        </w:tc>
        <w:tc>
          <w:tcPr>
            <w:tcW w:w="4536" w:type="dxa"/>
            <w:shd w:val="clear" w:color="auto" w:fill="auto"/>
          </w:tcPr>
          <w:p w14:paraId="04569805" w14:textId="77777777" w:rsidR="00312FA5" w:rsidRPr="00131A32" w:rsidRDefault="00312FA5" w:rsidP="007E0EA9">
            <w:pPr>
              <w:ind w:right="31"/>
            </w:pPr>
            <w:r w:rsidRPr="00131A32">
              <w:t>Saskaņā ar Kārtības 4.3.punktu ar vilces pakalpojumu sniegšanu un norēķiniem citas saistītās izmaksas (Citas izmaksas) tiks iekļautas vilces pakalpojuma norēķinu summā kā patstāvīga mēneša maksa, ja to pakalpojumu sniegšanas piedāvājumā būs iekļāvis vilces pakalpojumu sniedzējs.</w:t>
            </w:r>
          </w:p>
        </w:tc>
      </w:tr>
      <w:tr w:rsidR="00312FA5" w:rsidRPr="005B77F6" w14:paraId="2DBACD23" w14:textId="77777777" w:rsidTr="00312FA5">
        <w:trPr>
          <w:trHeight w:val="839"/>
        </w:trPr>
        <w:tc>
          <w:tcPr>
            <w:tcW w:w="851" w:type="dxa"/>
            <w:shd w:val="clear" w:color="auto" w:fill="auto"/>
          </w:tcPr>
          <w:p w14:paraId="2E3097AD" w14:textId="77777777" w:rsidR="00312FA5" w:rsidRPr="005B77F6" w:rsidRDefault="00312FA5" w:rsidP="007E0EA9">
            <w:pPr>
              <w:contextualSpacing/>
              <w:jc w:val="center"/>
              <w:rPr>
                <w:rFonts w:eastAsia="Calibri"/>
                <w:szCs w:val="24"/>
              </w:rPr>
            </w:pPr>
            <w:r>
              <w:rPr>
                <w:rFonts w:eastAsia="Calibri"/>
                <w:szCs w:val="24"/>
              </w:rPr>
              <w:lastRenderedPageBreak/>
              <w:t>5.</w:t>
            </w:r>
          </w:p>
        </w:tc>
        <w:tc>
          <w:tcPr>
            <w:tcW w:w="4252" w:type="dxa"/>
            <w:shd w:val="clear" w:color="auto" w:fill="auto"/>
          </w:tcPr>
          <w:p w14:paraId="19378EF5" w14:textId="77777777" w:rsidR="00312FA5" w:rsidRPr="00AA52B0" w:rsidRDefault="00312FA5" w:rsidP="007E0EA9">
            <w:pPr>
              <w:rPr>
                <w:szCs w:val="24"/>
              </w:rPr>
            </w:pPr>
            <w:r w:rsidRPr="00AA52B0">
              <w:rPr>
                <w:szCs w:val="24"/>
              </w:rPr>
              <w:t>Nolikuma 2.pielikumā 2.punktā ir norādīts, ka pretendentam atsevišķi ir jānorāda cena par vienu pakalpojuma stundu par vienas lokomotīves izmantošanu un cena par vienu pakalpojuma stundu par lokomotīves brigādes darbu. Vilces pakalpojumu nevar sniegt lokomotīve bez lokomotīves brigādes vai lokomotīves brigāde bez lokomotīves.</w:t>
            </w:r>
          </w:p>
          <w:p w14:paraId="03740EF2" w14:textId="77777777" w:rsidR="00312FA5" w:rsidRPr="00AA52B0" w:rsidRDefault="00312FA5" w:rsidP="007E0EA9">
            <w:pPr>
              <w:rPr>
                <w:szCs w:val="24"/>
              </w:rPr>
            </w:pPr>
            <w:r w:rsidRPr="00AA52B0">
              <w:rPr>
                <w:szCs w:val="24"/>
              </w:rPr>
              <w:t xml:space="preserve">Kāpēc cenu par vilces pakalpojumu veido divas atsevišķas cenas? </w:t>
            </w:r>
          </w:p>
        </w:tc>
        <w:tc>
          <w:tcPr>
            <w:tcW w:w="4536" w:type="dxa"/>
            <w:shd w:val="clear" w:color="auto" w:fill="auto"/>
          </w:tcPr>
          <w:p w14:paraId="166E0766" w14:textId="77777777" w:rsidR="00312FA5" w:rsidRPr="00131A32" w:rsidRDefault="00312FA5" w:rsidP="007E0EA9">
            <w:pPr>
              <w:ind w:right="31"/>
            </w:pPr>
            <w:r w:rsidRPr="00131A32">
              <w:t xml:space="preserve">Skaidrojam, ka sarunu procedūras nolikuma priekšmetā minētā pakalpojuma sniegšanā ir nepieciešams nodalīt lokomotīves izmantošanas stundas (izmaksas) no lokomotīves brigādes darba, kas bieži atšķiras, un, kā tas ir noteikts arī savstarpējos norēķinos ar ārvalstu pārvadātājiem par lokomotīvju vilces izmantošanu, kuru var izmantot vilces pakalpojumu sniegšanai pierobežas pārvadājumos. </w:t>
            </w:r>
          </w:p>
          <w:p w14:paraId="161E9159" w14:textId="77777777" w:rsidR="00312FA5" w:rsidRPr="00D559A1" w:rsidRDefault="00312FA5" w:rsidP="007E0EA9">
            <w:pPr>
              <w:ind w:right="31"/>
              <w:rPr>
                <w:rFonts w:ascii="Arial Narrow" w:hAnsi="Arial Narrow" w:cs="Embedded_ Subset_ Arial"/>
                <w:i/>
                <w:iCs/>
                <w:color w:val="0070C0"/>
              </w:rPr>
            </w:pPr>
            <w:r w:rsidRPr="00131A32">
              <w:t>Vilces pakalpojumu sniedzējs var izmantot gan savu, gan ārvalstu lokomotīvju vai lokomotīvju brigāžu darbu, kas attiecīgi mainīs piedāvājuma vilces pakalpojuma komponenšu maksas, bet mazāk ietekmēs kopējās vilces pakalpojuma kopējās izmaksas, ko nepieciešams vērtēt sarunu procedūrā.</w:t>
            </w:r>
            <w:r w:rsidRPr="00131A32">
              <w:rPr>
                <w:rFonts w:ascii="Arial Narrow" w:hAnsi="Arial Narrow" w:cs="Embedded_ Subset_ Arial"/>
                <w:i/>
                <w:iCs/>
              </w:rPr>
              <w:t xml:space="preserve"> </w:t>
            </w:r>
          </w:p>
        </w:tc>
      </w:tr>
      <w:tr w:rsidR="00312FA5" w:rsidRPr="005B77F6" w14:paraId="75EE6A86" w14:textId="77777777" w:rsidTr="00312FA5">
        <w:trPr>
          <w:trHeight w:val="569"/>
        </w:trPr>
        <w:tc>
          <w:tcPr>
            <w:tcW w:w="851" w:type="dxa"/>
            <w:shd w:val="clear" w:color="auto" w:fill="auto"/>
          </w:tcPr>
          <w:p w14:paraId="725C8E54" w14:textId="77777777" w:rsidR="00312FA5" w:rsidRPr="005B77F6" w:rsidRDefault="00312FA5" w:rsidP="007E0EA9">
            <w:pPr>
              <w:contextualSpacing/>
              <w:jc w:val="center"/>
              <w:rPr>
                <w:rFonts w:eastAsia="Calibri"/>
                <w:szCs w:val="24"/>
              </w:rPr>
            </w:pPr>
            <w:r>
              <w:rPr>
                <w:rFonts w:eastAsia="Calibri"/>
                <w:szCs w:val="24"/>
              </w:rPr>
              <w:t>6.</w:t>
            </w:r>
          </w:p>
        </w:tc>
        <w:tc>
          <w:tcPr>
            <w:tcW w:w="4252" w:type="dxa"/>
            <w:shd w:val="clear" w:color="auto" w:fill="auto"/>
          </w:tcPr>
          <w:p w14:paraId="63CD2BD1" w14:textId="77777777" w:rsidR="00312FA5" w:rsidRPr="00AA52B0" w:rsidRDefault="00312FA5" w:rsidP="007E0EA9">
            <w:pPr>
              <w:rPr>
                <w:szCs w:val="24"/>
              </w:rPr>
            </w:pPr>
            <w:r w:rsidRPr="00AA52B0">
              <w:rPr>
                <w:szCs w:val="24"/>
              </w:rPr>
              <w:t xml:space="preserve">Kādas izmaksu pozīcijas jāiekļauj cenā par lokomotīves izmantošanu? </w:t>
            </w:r>
          </w:p>
        </w:tc>
        <w:tc>
          <w:tcPr>
            <w:tcW w:w="4536" w:type="dxa"/>
            <w:shd w:val="clear" w:color="auto" w:fill="auto"/>
          </w:tcPr>
          <w:p w14:paraId="5116E224" w14:textId="77777777" w:rsidR="00312FA5" w:rsidRPr="00961AB7" w:rsidRDefault="00312FA5" w:rsidP="007E0EA9">
            <w:pPr>
              <w:ind w:left="29" w:right="31"/>
            </w:pPr>
            <w:r w:rsidRPr="00961AB7">
              <w:t>Skaidrojam, ka cenā par lokomotīves izmantošanu jāiekļauj izmaksas, kas saistītas ar lokomotīvju izmantošanu – lokomotīvju vilces pakalpojumi (ārvalstu dzelzceļi), degviela, materiāli, nolietojuma izmaksas, nomas, apdrošināšanas u.c. maksājumi, kas ir vilces pakalpojuma sniedzēja kompetencē.</w:t>
            </w:r>
          </w:p>
        </w:tc>
      </w:tr>
      <w:tr w:rsidR="00312FA5" w:rsidRPr="005B77F6" w14:paraId="6C7D9128" w14:textId="77777777" w:rsidTr="00312FA5">
        <w:trPr>
          <w:trHeight w:val="407"/>
        </w:trPr>
        <w:tc>
          <w:tcPr>
            <w:tcW w:w="851" w:type="dxa"/>
            <w:shd w:val="clear" w:color="auto" w:fill="auto"/>
          </w:tcPr>
          <w:p w14:paraId="567982A6" w14:textId="77777777" w:rsidR="00312FA5" w:rsidRPr="005B77F6" w:rsidRDefault="00312FA5" w:rsidP="007E0EA9">
            <w:pPr>
              <w:contextualSpacing/>
              <w:jc w:val="center"/>
              <w:rPr>
                <w:rFonts w:eastAsia="Calibri"/>
                <w:szCs w:val="24"/>
              </w:rPr>
            </w:pPr>
            <w:r>
              <w:rPr>
                <w:rFonts w:eastAsia="Calibri"/>
                <w:szCs w:val="24"/>
              </w:rPr>
              <w:t>7.</w:t>
            </w:r>
          </w:p>
        </w:tc>
        <w:tc>
          <w:tcPr>
            <w:tcW w:w="4252" w:type="dxa"/>
            <w:shd w:val="clear" w:color="auto" w:fill="auto"/>
          </w:tcPr>
          <w:p w14:paraId="0E9610C5" w14:textId="77777777" w:rsidR="00312FA5" w:rsidRPr="00AA52B0" w:rsidRDefault="00312FA5" w:rsidP="007E0EA9">
            <w:pPr>
              <w:rPr>
                <w:szCs w:val="24"/>
              </w:rPr>
            </w:pPr>
            <w:r w:rsidRPr="00AA52B0">
              <w:rPr>
                <w:szCs w:val="24"/>
              </w:rPr>
              <w:t xml:space="preserve">Kādas izmaksu pozīcijas jāiekļauj cenā par lokomotīves brigādes darbu? </w:t>
            </w:r>
          </w:p>
        </w:tc>
        <w:tc>
          <w:tcPr>
            <w:tcW w:w="4536" w:type="dxa"/>
            <w:shd w:val="clear" w:color="auto" w:fill="auto"/>
          </w:tcPr>
          <w:p w14:paraId="2E0E0FB6" w14:textId="77777777" w:rsidR="00312FA5" w:rsidRPr="00961AB7" w:rsidRDefault="00312FA5" w:rsidP="007E0EA9">
            <w:pPr>
              <w:ind w:left="29" w:right="31"/>
            </w:pPr>
            <w:r w:rsidRPr="00961AB7">
              <w:t>Skaidrojam, ka cenā par lokomotīves brigādes darbu ir jāiekļauj izmaksas, kas saistītas ar lokomotīvju brigādes darbu – lokomotīvju brigāžu pakalpojumi (ārvalstu dzelzceļi), darba algas, sociālo nodokļu maksājumi, citas izmaksas, vilces pakalpojuma sniedzēja kompetencē.</w:t>
            </w:r>
          </w:p>
        </w:tc>
      </w:tr>
      <w:tr w:rsidR="00312FA5" w:rsidRPr="005B77F6" w14:paraId="47927EA5" w14:textId="77777777" w:rsidTr="00312FA5">
        <w:trPr>
          <w:trHeight w:val="839"/>
        </w:trPr>
        <w:tc>
          <w:tcPr>
            <w:tcW w:w="851" w:type="dxa"/>
            <w:shd w:val="clear" w:color="auto" w:fill="auto"/>
          </w:tcPr>
          <w:p w14:paraId="283695C8" w14:textId="77777777" w:rsidR="00312FA5" w:rsidRPr="005B77F6" w:rsidRDefault="00312FA5" w:rsidP="007E0EA9">
            <w:pPr>
              <w:contextualSpacing/>
              <w:jc w:val="center"/>
              <w:rPr>
                <w:rFonts w:eastAsia="Calibri"/>
                <w:szCs w:val="24"/>
              </w:rPr>
            </w:pPr>
            <w:r>
              <w:rPr>
                <w:rFonts w:eastAsia="Calibri"/>
                <w:szCs w:val="24"/>
              </w:rPr>
              <w:t>8.</w:t>
            </w:r>
          </w:p>
        </w:tc>
        <w:tc>
          <w:tcPr>
            <w:tcW w:w="4252" w:type="dxa"/>
            <w:shd w:val="clear" w:color="auto" w:fill="auto"/>
          </w:tcPr>
          <w:p w14:paraId="511CE303" w14:textId="77777777" w:rsidR="00312FA5" w:rsidRPr="00AA52B0" w:rsidRDefault="00312FA5" w:rsidP="007E0EA9">
            <w:pPr>
              <w:rPr>
                <w:szCs w:val="24"/>
              </w:rPr>
            </w:pPr>
            <w:r w:rsidRPr="00AA52B0">
              <w:rPr>
                <w:szCs w:val="24"/>
              </w:rPr>
              <w:t>Izpildītājs var noteikt pakalpojuma stundu uzskaites veidu un kritērijus (no kura līdz kuram brīdim) vai to nosaka pasūtītājs?</w:t>
            </w:r>
          </w:p>
        </w:tc>
        <w:tc>
          <w:tcPr>
            <w:tcW w:w="4536" w:type="dxa"/>
            <w:shd w:val="clear" w:color="auto" w:fill="auto"/>
          </w:tcPr>
          <w:p w14:paraId="5C3DBD42" w14:textId="77777777" w:rsidR="00312FA5" w:rsidRPr="00961AB7" w:rsidRDefault="00312FA5" w:rsidP="007E0EA9">
            <w:pPr>
              <w:ind w:right="31"/>
            </w:pPr>
            <w:r w:rsidRPr="00961AB7">
              <w:t>Skaidrojam, ka vilces pakalpojuma stundu uzskaites kārtību nosaka pakalpojumu sniedzējs, un par vilces pakalpojuma sniegšanai izmantoto stundu skaitu informē Starpniecības pakalpojuma sniedzēju savstarpējo norēķinu veikšanai starp vilces pakalpojuma pieteicēju un vilces pakalpojumu sniedzēju.</w:t>
            </w:r>
          </w:p>
        </w:tc>
      </w:tr>
      <w:tr w:rsidR="00312FA5" w:rsidRPr="005B77F6" w14:paraId="0CA3DDAC" w14:textId="77777777" w:rsidTr="00312FA5">
        <w:trPr>
          <w:trHeight w:val="839"/>
        </w:trPr>
        <w:tc>
          <w:tcPr>
            <w:tcW w:w="851" w:type="dxa"/>
            <w:shd w:val="clear" w:color="auto" w:fill="auto"/>
          </w:tcPr>
          <w:p w14:paraId="5A114879" w14:textId="77777777" w:rsidR="00312FA5" w:rsidRPr="005B77F6" w:rsidRDefault="00312FA5" w:rsidP="007E0EA9">
            <w:pPr>
              <w:contextualSpacing/>
              <w:jc w:val="center"/>
              <w:rPr>
                <w:rFonts w:eastAsia="Calibri"/>
                <w:szCs w:val="24"/>
              </w:rPr>
            </w:pPr>
            <w:r>
              <w:rPr>
                <w:rFonts w:eastAsia="Calibri"/>
                <w:szCs w:val="24"/>
              </w:rPr>
              <w:t>9.</w:t>
            </w:r>
          </w:p>
        </w:tc>
        <w:tc>
          <w:tcPr>
            <w:tcW w:w="4252" w:type="dxa"/>
            <w:shd w:val="clear" w:color="auto" w:fill="auto"/>
          </w:tcPr>
          <w:p w14:paraId="64161D33" w14:textId="77777777" w:rsidR="00312FA5" w:rsidRPr="00AA52B0" w:rsidRDefault="00312FA5" w:rsidP="007E0EA9">
            <w:pPr>
              <w:rPr>
                <w:szCs w:val="24"/>
              </w:rPr>
            </w:pPr>
            <w:r w:rsidRPr="00AA52B0">
              <w:rPr>
                <w:szCs w:val="24"/>
              </w:rPr>
              <w:t xml:space="preserve">Vai ar līgumcenas (99000 EUR) sasniegšanu vienā iecirknī izpildītājs būs tiesīgs atteikties sniegt pakalpojumus šajā iecirknī, pat ja līgumcena pārējos iecirkņos netiks sasniegta? Saskaņā ar Līguma 3.1.6. punktu, izpildītājam ir tiesības “savlaicīgi 30 (trīsdesmit) dienas iepriekš) informēt LDZ un </w:t>
            </w:r>
            <w:r w:rsidRPr="00AA52B0">
              <w:rPr>
                <w:i/>
                <w:iCs/>
                <w:szCs w:val="24"/>
              </w:rPr>
              <w:t xml:space="preserve">XX (informācija tiks precizēta) </w:t>
            </w:r>
            <w:r w:rsidRPr="00AA52B0">
              <w:rPr>
                <w:szCs w:val="24"/>
              </w:rPr>
              <w:t xml:space="preserve">par izmaiņām </w:t>
            </w:r>
            <w:r w:rsidRPr="00AA52B0">
              <w:rPr>
                <w:szCs w:val="24"/>
              </w:rPr>
              <w:lastRenderedPageBreak/>
              <w:t xml:space="preserve">vilces pakalpojuma cenās un sniegšanas noteikumos”. </w:t>
            </w:r>
          </w:p>
        </w:tc>
        <w:tc>
          <w:tcPr>
            <w:tcW w:w="4536" w:type="dxa"/>
            <w:shd w:val="clear" w:color="auto" w:fill="auto"/>
          </w:tcPr>
          <w:p w14:paraId="3F6B262A" w14:textId="77777777" w:rsidR="00312FA5" w:rsidRPr="00F970EB" w:rsidRDefault="00312FA5" w:rsidP="007E0EA9">
            <w:pPr>
              <w:contextualSpacing/>
              <w:rPr>
                <w:bCs/>
                <w:szCs w:val="24"/>
                <w:highlight w:val="yellow"/>
              </w:rPr>
            </w:pPr>
            <w:r>
              <w:rPr>
                <w:szCs w:val="24"/>
              </w:rPr>
              <w:lastRenderedPageBreak/>
              <w:t xml:space="preserve">Nē, </w:t>
            </w:r>
            <w:r w:rsidRPr="00AA52B0">
              <w:rPr>
                <w:szCs w:val="24"/>
              </w:rPr>
              <w:t xml:space="preserve">izpildītājs </w:t>
            </w:r>
            <w:r>
              <w:rPr>
                <w:szCs w:val="24"/>
              </w:rPr>
              <w:t>ne</w:t>
            </w:r>
            <w:r w:rsidRPr="00AA52B0">
              <w:rPr>
                <w:szCs w:val="24"/>
              </w:rPr>
              <w:t>būs tiesīgs atteikties</w:t>
            </w:r>
            <w:r>
              <w:rPr>
                <w:szCs w:val="24"/>
              </w:rPr>
              <w:t>.</w:t>
            </w:r>
          </w:p>
        </w:tc>
      </w:tr>
      <w:tr w:rsidR="00312FA5" w:rsidRPr="005B77F6" w14:paraId="48EC39BA" w14:textId="77777777" w:rsidTr="00312FA5">
        <w:trPr>
          <w:trHeight w:val="505"/>
        </w:trPr>
        <w:tc>
          <w:tcPr>
            <w:tcW w:w="851" w:type="dxa"/>
            <w:shd w:val="clear" w:color="auto" w:fill="auto"/>
          </w:tcPr>
          <w:p w14:paraId="057BBCBF" w14:textId="77777777" w:rsidR="00312FA5" w:rsidRPr="005B77F6" w:rsidRDefault="00312FA5" w:rsidP="007E0EA9">
            <w:pPr>
              <w:contextualSpacing/>
              <w:jc w:val="center"/>
              <w:rPr>
                <w:rFonts w:eastAsia="Calibri"/>
                <w:szCs w:val="24"/>
              </w:rPr>
            </w:pPr>
            <w:r>
              <w:rPr>
                <w:rFonts w:eastAsia="Calibri"/>
                <w:szCs w:val="24"/>
              </w:rPr>
              <w:t>10.</w:t>
            </w:r>
          </w:p>
        </w:tc>
        <w:tc>
          <w:tcPr>
            <w:tcW w:w="4252" w:type="dxa"/>
            <w:shd w:val="clear" w:color="auto" w:fill="auto"/>
          </w:tcPr>
          <w:p w14:paraId="770493C5" w14:textId="77777777" w:rsidR="00312FA5" w:rsidRPr="0068126B" w:rsidRDefault="00312FA5" w:rsidP="007E0EA9">
            <w:pPr>
              <w:rPr>
                <w:szCs w:val="24"/>
              </w:rPr>
            </w:pPr>
            <w:r w:rsidRPr="0068126B">
              <w:rPr>
                <w:szCs w:val="24"/>
              </w:rPr>
              <w:t>Vai līguma 3.1.6.punkts nav pretrunā ar līguma 4.3.punktu?</w:t>
            </w:r>
          </w:p>
        </w:tc>
        <w:tc>
          <w:tcPr>
            <w:tcW w:w="4536" w:type="dxa"/>
            <w:shd w:val="clear" w:color="auto" w:fill="auto"/>
          </w:tcPr>
          <w:p w14:paraId="05A5E91A" w14:textId="77777777" w:rsidR="00312FA5" w:rsidRPr="0068126B" w:rsidRDefault="00312FA5" w:rsidP="007E0EA9">
            <w:pPr>
              <w:contextualSpacing/>
              <w:rPr>
                <w:bCs/>
                <w:szCs w:val="24"/>
              </w:rPr>
            </w:pPr>
            <w:r w:rsidRPr="0068126B">
              <w:rPr>
                <w:bCs/>
                <w:szCs w:val="24"/>
              </w:rPr>
              <w:t>Lūdzam skatīt sarunu procedūras Grozījumus Nr.1.</w:t>
            </w:r>
          </w:p>
        </w:tc>
      </w:tr>
      <w:tr w:rsidR="00312FA5" w:rsidRPr="005B77F6" w14:paraId="0C46CBA5" w14:textId="77777777" w:rsidTr="00312FA5">
        <w:trPr>
          <w:trHeight w:val="839"/>
        </w:trPr>
        <w:tc>
          <w:tcPr>
            <w:tcW w:w="851" w:type="dxa"/>
            <w:shd w:val="clear" w:color="auto" w:fill="auto"/>
          </w:tcPr>
          <w:p w14:paraId="296F5FA6" w14:textId="77777777" w:rsidR="00312FA5" w:rsidRPr="005B77F6" w:rsidRDefault="00312FA5" w:rsidP="007E0EA9">
            <w:pPr>
              <w:contextualSpacing/>
              <w:jc w:val="center"/>
              <w:rPr>
                <w:rFonts w:eastAsia="Calibri"/>
                <w:szCs w:val="24"/>
              </w:rPr>
            </w:pPr>
            <w:r>
              <w:rPr>
                <w:rFonts w:eastAsia="Calibri"/>
                <w:szCs w:val="24"/>
              </w:rPr>
              <w:t>11.</w:t>
            </w:r>
          </w:p>
        </w:tc>
        <w:tc>
          <w:tcPr>
            <w:tcW w:w="4252" w:type="dxa"/>
            <w:shd w:val="clear" w:color="auto" w:fill="auto"/>
          </w:tcPr>
          <w:p w14:paraId="30B53D4B" w14:textId="77777777" w:rsidR="00312FA5" w:rsidRPr="00AA52B0" w:rsidRDefault="00312FA5" w:rsidP="007E0EA9">
            <w:pPr>
              <w:rPr>
                <w:szCs w:val="24"/>
              </w:rPr>
            </w:pPr>
            <w:r w:rsidRPr="00AA52B0">
              <w:rPr>
                <w:szCs w:val="24"/>
              </w:rPr>
              <w:t>Līguma 4.6. ir noteikts, ka: “Maksa par publiskās lietošanas dzelzceļa infrastruktūras izmantošanu dzelzceļa iecirkņos, kur saskaņā ar Līgumu vilces pakalpojumu nodrošina Izpildītājs, tiek sadalīta proporcionāli Izpildītāja un vilces pakalpojuma pieteicēja starpā atbilstoši pārvesto vagonu kilometru skaitam un attiecīgo vagonu piederībai, un tiek aprēķināta, izmantojot Detalizētās kārtības 4.4.punktā noteikto aprēķināšanas kārtību”.</w:t>
            </w:r>
          </w:p>
          <w:p w14:paraId="33FD45DB" w14:textId="77777777" w:rsidR="00312FA5" w:rsidRPr="00AA52B0" w:rsidRDefault="00312FA5" w:rsidP="007E0EA9">
            <w:pPr>
              <w:rPr>
                <w:szCs w:val="24"/>
              </w:rPr>
            </w:pPr>
            <w:r w:rsidRPr="00AA52B0">
              <w:rPr>
                <w:szCs w:val="24"/>
              </w:rPr>
              <w:t xml:space="preserve">Vai izpildītājam sākumā būs jāmaksā maksa par publiskās lietošanas dzelzceļa infrastruktūras izmantošanu, kura pēc tam tiks sadalīta atbilstoši līguma 4.6.punktam? </w:t>
            </w:r>
          </w:p>
        </w:tc>
        <w:tc>
          <w:tcPr>
            <w:tcW w:w="4536" w:type="dxa"/>
            <w:shd w:val="clear" w:color="auto" w:fill="auto"/>
          </w:tcPr>
          <w:p w14:paraId="166DB3B5" w14:textId="77777777" w:rsidR="00312FA5" w:rsidRPr="008F676F" w:rsidRDefault="00312FA5" w:rsidP="007E0EA9">
            <w:pPr>
              <w:ind w:right="31"/>
            </w:pPr>
            <w:r w:rsidRPr="008F676F">
              <w:t>Skaidrojam, ka infrastruktūras maksas aprēķināšana un tās maksājumi nav iekļaujami vilces pakalpojuma komponenšu maksās un vilces pakalpojuma sniegšanas izmaksās un par infrastruktūras izmantošanu norēķinās atsevišķi vilces pakalpojumu pieteicējs un vilces pakalpojumu sniedzējs ar infrastruktūras pārvaldītāju saskaņā ar Kārtības 4.4.punktu.</w:t>
            </w:r>
          </w:p>
          <w:p w14:paraId="0993F5BB" w14:textId="77777777" w:rsidR="00312FA5" w:rsidRPr="00F970EB" w:rsidRDefault="00312FA5" w:rsidP="007E0EA9">
            <w:pPr>
              <w:contextualSpacing/>
              <w:rPr>
                <w:bCs/>
                <w:szCs w:val="24"/>
                <w:highlight w:val="yellow"/>
              </w:rPr>
            </w:pPr>
            <w:r w:rsidRPr="008F676F">
              <w:t>Pakalpojuma sniedzējs norēķināsies par dzelzceļa infrastruktūras izmantošanu savas daļas apmērā, kas tiks aprēķināta proporcionāli pārvadāto vagonu kilometru skaitam. Saskaņā ar Kārtības 4.4.punktu vilces pakalpojuma pieteicējam un ārpakalpojumu sniedzējam tiks aprēķinātas atsevišķas infrastruktūras maksas pamatojoties uz noslēgtajiem Starpniecības pakalpojumu sniegšanas līgumiem un sarunu procedūras rezultātā noslēgto līgumu.</w:t>
            </w:r>
          </w:p>
        </w:tc>
      </w:tr>
      <w:tr w:rsidR="00312FA5" w:rsidRPr="005B77F6" w14:paraId="13F9C0B2" w14:textId="77777777" w:rsidTr="00312FA5">
        <w:trPr>
          <w:trHeight w:val="839"/>
        </w:trPr>
        <w:tc>
          <w:tcPr>
            <w:tcW w:w="851" w:type="dxa"/>
            <w:shd w:val="clear" w:color="auto" w:fill="auto"/>
          </w:tcPr>
          <w:p w14:paraId="12FF4213" w14:textId="77777777" w:rsidR="00312FA5" w:rsidRDefault="00312FA5" w:rsidP="007E0EA9">
            <w:pPr>
              <w:contextualSpacing/>
              <w:jc w:val="center"/>
              <w:rPr>
                <w:rFonts w:eastAsia="Calibri"/>
                <w:szCs w:val="24"/>
              </w:rPr>
            </w:pPr>
            <w:r>
              <w:rPr>
                <w:rFonts w:eastAsia="Calibri"/>
                <w:szCs w:val="24"/>
              </w:rPr>
              <w:t>12.</w:t>
            </w:r>
          </w:p>
        </w:tc>
        <w:tc>
          <w:tcPr>
            <w:tcW w:w="4252" w:type="dxa"/>
            <w:shd w:val="clear" w:color="auto" w:fill="auto"/>
          </w:tcPr>
          <w:p w14:paraId="6596912A" w14:textId="77777777" w:rsidR="00312FA5" w:rsidRPr="00AA52B0" w:rsidRDefault="00312FA5" w:rsidP="007E0EA9">
            <w:pPr>
              <w:pStyle w:val="Sarakstarindkopa"/>
              <w:ind w:left="0"/>
              <w:jc w:val="both"/>
              <w:rPr>
                <w:b/>
                <w:sz w:val="24"/>
                <w:szCs w:val="24"/>
              </w:rPr>
            </w:pPr>
            <w:r w:rsidRPr="00AA52B0">
              <w:rPr>
                <w:sz w:val="24"/>
                <w:szCs w:val="24"/>
              </w:rPr>
              <w:t>Vai vilces pakalpojuma pieteicējam ir pieteikta jauda pārvadājumiem Nolikuma 2.1.punktā norādītajiem iecirkņiem un pakalpojumu paredzēts sniegts tikai pieteiktās jaudas ietvaros?</w:t>
            </w:r>
          </w:p>
        </w:tc>
        <w:tc>
          <w:tcPr>
            <w:tcW w:w="4536" w:type="dxa"/>
            <w:shd w:val="clear" w:color="auto" w:fill="auto"/>
          </w:tcPr>
          <w:p w14:paraId="5C4BF649" w14:textId="77777777" w:rsidR="00312FA5" w:rsidRPr="008F676F" w:rsidRDefault="00312FA5" w:rsidP="007E0EA9">
            <w:pPr>
              <w:ind w:right="31"/>
            </w:pPr>
            <w:r w:rsidRPr="008F676F">
              <w:t>Skaidrojam, ka vilces pakalpojumu sniedzējam ir jābūt piešķirtai pārvadājumu jaudai vilces pakalpojumu sniegšanai.</w:t>
            </w:r>
          </w:p>
          <w:p w14:paraId="69343C4A" w14:textId="77777777" w:rsidR="00312FA5" w:rsidRPr="008F676F" w:rsidRDefault="00312FA5" w:rsidP="007E0EA9">
            <w:pPr>
              <w:ind w:right="31"/>
              <w:contextualSpacing/>
              <w:rPr>
                <w:bCs/>
                <w:szCs w:val="24"/>
                <w:highlight w:val="yellow"/>
              </w:rPr>
            </w:pPr>
          </w:p>
        </w:tc>
      </w:tr>
      <w:tr w:rsidR="00312FA5" w:rsidRPr="005B77F6" w14:paraId="028E2EE8" w14:textId="77777777" w:rsidTr="00312FA5">
        <w:trPr>
          <w:trHeight w:val="839"/>
        </w:trPr>
        <w:tc>
          <w:tcPr>
            <w:tcW w:w="851" w:type="dxa"/>
            <w:shd w:val="clear" w:color="auto" w:fill="auto"/>
          </w:tcPr>
          <w:p w14:paraId="6F623006" w14:textId="77777777" w:rsidR="00312FA5" w:rsidRDefault="00312FA5" w:rsidP="007E0EA9">
            <w:pPr>
              <w:contextualSpacing/>
              <w:jc w:val="center"/>
              <w:rPr>
                <w:rFonts w:eastAsia="Calibri"/>
                <w:szCs w:val="24"/>
              </w:rPr>
            </w:pPr>
            <w:r>
              <w:rPr>
                <w:rFonts w:eastAsia="Calibri"/>
                <w:szCs w:val="24"/>
              </w:rPr>
              <w:t>13.</w:t>
            </w:r>
          </w:p>
        </w:tc>
        <w:tc>
          <w:tcPr>
            <w:tcW w:w="4252" w:type="dxa"/>
            <w:shd w:val="clear" w:color="auto" w:fill="auto"/>
          </w:tcPr>
          <w:p w14:paraId="24D93B56" w14:textId="77777777" w:rsidR="00312FA5" w:rsidRPr="00AA52B0" w:rsidRDefault="00312FA5" w:rsidP="007E0EA9">
            <w:pPr>
              <w:rPr>
                <w:szCs w:val="24"/>
              </w:rPr>
            </w:pPr>
            <w:r w:rsidRPr="00AA52B0">
              <w:rPr>
                <w:szCs w:val="24"/>
              </w:rPr>
              <w:t>Līguma 4.5.punktā ir noteikts, ka “LDZ izmaksas par vilces pakalpojuma sniegšanu pierobežas dzelzceļa iecirkņos, kur vilces līdzekļus nodrošina Izpildītājs, sadala proporcionāli vilces pakalpojuma pieteicēja un Izpildītāja starpā atbilstoši pārvesto vagonu kilometru skaitam un attiecīgo vagonu piederībai, izmantojot Detalizētās kārtības 4.3.punktā noteikto izmaksu aprēķināšanas kārtību”.</w:t>
            </w:r>
          </w:p>
          <w:p w14:paraId="3CC60E1C" w14:textId="77777777" w:rsidR="00312FA5" w:rsidRPr="00AA52B0" w:rsidRDefault="00312FA5" w:rsidP="007E0EA9">
            <w:pPr>
              <w:rPr>
                <w:szCs w:val="24"/>
              </w:rPr>
            </w:pPr>
            <w:r w:rsidRPr="00AA52B0">
              <w:rPr>
                <w:szCs w:val="24"/>
              </w:rPr>
              <w:t xml:space="preserve">Kur tiks noteiktas LDZ izmaksas par vilces pakalpojuma sniegšanu? </w:t>
            </w:r>
          </w:p>
        </w:tc>
        <w:tc>
          <w:tcPr>
            <w:tcW w:w="4536" w:type="dxa"/>
            <w:shd w:val="clear" w:color="auto" w:fill="auto"/>
          </w:tcPr>
          <w:p w14:paraId="15182709" w14:textId="77777777" w:rsidR="00312FA5" w:rsidRPr="008F676F" w:rsidRDefault="00312FA5" w:rsidP="007E0EA9">
            <w:r w:rsidRPr="008F676F">
              <w:t>Skaidrojam, ka Kārtības 4.3.punktā ir noteikts algoritms, ka izmaksas par vilces pakalpojumu sniegšanu, kur vilces līdzekļus pierobežas iecirkņos nodrošina ārpakalpojuma sniedzējs vai kaimiņvalstu dzelzceļa uzņēmumi starpniecības pakalpojuma ietvaros, sadala proporcionāli vilces pakalpojuma pieteicēja un ārpakalpojuma sniedzēja starpā atbilstoši pārvesto vagonu kilometru skaitam pierobežas iecirknī.</w:t>
            </w:r>
          </w:p>
          <w:p w14:paraId="5A9E3618" w14:textId="77777777" w:rsidR="00312FA5" w:rsidRPr="008F676F" w:rsidRDefault="00312FA5" w:rsidP="007E0EA9">
            <w:r w:rsidRPr="008F676F">
              <w:t>LDZ nesniedz vilces pakalpojumus, bet nodrošina starpniecības pakalpojumus šādu pakalpojumu sniegšanai, slēdzot starpniecības pakalpojuma līgumu ar vilces pakalpojumu pieteicēju, kurā tiks noteiktas sniedzamā starpniecības pakalpojuma maksa.</w:t>
            </w:r>
          </w:p>
        </w:tc>
      </w:tr>
      <w:tr w:rsidR="00312FA5" w:rsidRPr="005B77F6" w14:paraId="20408D30" w14:textId="77777777" w:rsidTr="00312FA5">
        <w:trPr>
          <w:trHeight w:val="839"/>
        </w:trPr>
        <w:tc>
          <w:tcPr>
            <w:tcW w:w="851" w:type="dxa"/>
            <w:shd w:val="clear" w:color="auto" w:fill="auto"/>
          </w:tcPr>
          <w:p w14:paraId="23AA3B3F" w14:textId="77777777" w:rsidR="00312FA5" w:rsidRDefault="00312FA5" w:rsidP="007E0EA9">
            <w:pPr>
              <w:contextualSpacing/>
              <w:jc w:val="center"/>
              <w:rPr>
                <w:rFonts w:eastAsia="Calibri"/>
                <w:szCs w:val="24"/>
              </w:rPr>
            </w:pPr>
            <w:r>
              <w:rPr>
                <w:rFonts w:eastAsia="Calibri"/>
                <w:szCs w:val="24"/>
              </w:rPr>
              <w:t>14.</w:t>
            </w:r>
          </w:p>
        </w:tc>
        <w:tc>
          <w:tcPr>
            <w:tcW w:w="4252" w:type="dxa"/>
            <w:shd w:val="clear" w:color="auto" w:fill="auto"/>
          </w:tcPr>
          <w:p w14:paraId="54AFA5DF" w14:textId="77777777" w:rsidR="00312FA5" w:rsidRPr="00AA52B0" w:rsidRDefault="00312FA5" w:rsidP="007E0EA9">
            <w:pPr>
              <w:pStyle w:val="Sarakstarindkopa"/>
              <w:ind w:left="0"/>
              <w:jc w:val="both"/>
              <w:rPr>
                <w:b/>
                <w:sz w:val="24"/>
                <w:szCs w:val="24"/>
              </w:rPr>
            </w:pPr>
            <w:r w:rsidRPr="00AA52B0">
              <w:rPr>
                <w:sz w:val="24"/>
                <w:szCs w:val="24"/>
              </w:rPr>
              <w:t xml:space="preserve">Vai sniedzot vilces pakalpojumu izpildītājam būs papildus jāmaksā par savu vagonu pārvadāšanu gadījumā ja tiks </w:t>
            </w:r>
            <w:r w:rsidRPr="00AA52B0">
              <w:rPr>
                <w:sz w:val="24"/>
                <w:szCs w:val="24"/>
              </w:rPr>
              <w:lastRenderedPageBreak/>
              <w:t>sniegts “jaukta vilciena” (vilciena sastāvā būs izpildītāja un pieteicēja vagoni) vilces pakalpojums?</w:t>
            </w:r>
          </w:p>
        </w:tc>
        <w:tc>
          <w:tcPr>
            <w:tcW w:w="4536" w:type="dxa"/>
            <w:shd w:val="clear" w:color="auto" w:fill="auto"/>
          </w:tcPr>
          <w:p w14:paraId="717B3F84" w14:textId="77777777" w:rsidR="00312FA5" w:rsidRPr="008F676F" w:rsidRDefault="00312FA5" w:rsidP="007E0EA9">
            <w:r w:rsidRPr="008F676F">
              <w:lastRenderedPageBreak/>
              <w:t xml:space="preserve">Skaidrojam, ka saskaņā ar Kārtības 4.3.punktu vilces pakalpojuma pieteicēja maksājums par vilces pakalpojumu norēķina </w:t>
            </w:r>
            <w:r w:rsidRPr="008F676F">
              <w:lastRenderedPageBreak/>
              <w:t xml:space="preserve">periodā tiks veikts attiecīgi vilces pakalpojuma pieteicējam pārvesto vagonu kilometru skaitam, tādēļ attiecīgu daļu par savu vagonu pārvadāšanu jauktu sastāvu vilcienos segs arī vilces pakalpojumu sniedzējs. </w:t>
            </w:r>
          </w:p>
        </w:tc>
      </w:tr>
      <w:tr w:rsidR="00312FA5" w:rsidRPr="005B77F6" w14:paraId="5AF8EEF5" w14:textId="77777777" w:rsidTr="00312FA5">
        <w:trPr>
          <w:trHeight w:val="557"/>
        </w:trPr>
        <w:tc>
          <w:tcPr>
            <w:tcW w:w="851" w:type="dxa"/>
            <w:shd w:val="clear" w:color="auto" w:fill="auto"/>
          </w:tcPr>
          <w:p w14:paraId="67752302" w14:textId="77777777" w:rsidR="00312FA5" w:rsidRDefault="00312FA5" w:rsidP="007E0EA9">
            <w:pPr>
              <w:contextualSpacing/>
              <w:jc w:val="center"/>
              <w:rPr>
                <w:rFonts w:eastAsia="Calibri"/>
                <w:szCs w:val="24"/>
              </w:rPr>
            </w:pPr>
            <w:r>
              <w:rPr>
                <w:rFonts w:eastAsia="Calibri"/>
                <w:szCs w:val="24"/>
              </w:rPr>
              <w:lastRenderedPageBreak/>
              <w:t>15.</w:t>
            </w:r>
          </w:p>
        </w:tc>
        <w:tc>
          <w:tcPr>
            <w:tcW w:w="4252" w:type="dxa"/>
            <w:shd w:val="clear" w:color="auto" w:fill="auto"/>
          </w:tcPr>
          <w:p w14:paraId="13CCE2E3" w14:textId="77777777" w:rsidR="00312FA5" w:rsidRPr="00AA52B0" w:rsidRDefault="00312FA5" w:rsidP="007E0EA9">
            <w:pPr>
              <w:rPr>
                <w:szCs w:val="24"/>
              </w:rPr>
            </w:pPr>
            <w:r w:rsidRPr="00AA52B0">
              <w:rPr>
                <w:szCs w:val="24"/>
              </w:rPr>
              <w:t>Līguma 4.6.</w:t>
            </w:r>
            <w:r>
              <w:rPr>
                <w:szCs w:val="24"/>
              </w:rPr>
              <w:t>punktā</w:t>
            </w:r>
            <w:r w:rsidRPr="00AA52B0">
              <w:rPr>
                <w:szCs w:val="24"/>
              </w:rPr>
              <w:t xml:space="preserve"> ir noteikts, ka “Ja vilces pakalpojuma pieteicējs uz savstarpējas vienošanās pamata ar Izpildītāju pats nodrošina vilces pakalpojuma maksas sastāvā iekļauto izmaksu kompensēšanu Izpildītājam, kuras saistītas ar vilces līdzekļu izmantošanu, šo pakalpojuma daļu izmaksas netiek iekļautas kopējās kompensējamajās izmaksās, kuras vilces pakalpojuma pieteicējs kompensē Izpildītājam”. Lūdzam sniegt skaidrojumu šī punkta saturam.</w:t>
            </w:r>
          </w:p>
        </w:tc>
        <w:tc>
          <w:tcPr>
            <w:tcW w:w="4536" w:type="dxa"/>
            <w:shd w:val="clear" w:color="auto" w:fill="auto"/>
          </w:tcPr>
          <w:p w14:paraId="3628EC2B" w14:textId="77777777" w:rsidR="00312FA5" w:rsidRPr="008F676F" w:rsidRDefault="00312FA5" w:rsidP="007E0EA9">
            <w:r w:rsidRPr="008F676F">
              <w:t xml:space="preserve">Skaidrojam, ka saskaņā ar Kārtības 4.7.punktu, ja pastāv atsevišķa vienošanās starp vilces pakalpojumu sniedzēju un vilces pakalpojumu pieteicēju attiecībā uz vilces pakalpojumā iekļauto izmaksu kompensēšanu, piemēram, norēķini par inventāra parka vagonu izmantošanu, lokomotīvju apkalpošanu u.c., tad šādas kompensējamās izmaksas nav iekļaujamas vilces pakalpojuma izmaksu aprēķinā, vilces pakalpojuma komponenšu maksās un vilces pakalpojuma pieteicēja kompensējamās izmaksās par vilces pakalpojumu sniegšanu. </w:t>
            </w:r>
          </w:p>
        </w:tc>
      </w:tr>
      <w:tr w:rsidR="00312FA5" w:rsidRPr="005B77F6" w14:paraId="59F0C65F" w14:textId="77777777" w:rsidTr="00312FA5">
        <w:trPr>
          <w:trHeight w:val="839"/>
        </w:trPr>
        <w:tc>
          <w:tcPr>
            <w:tcW w:w="851" w:type="dxa"/>
            <w:shd w:val="clear" w:color="auto" w:fill="auto"/>
          </w:tcPr>
          <w:p w14:paraId="1AF415D5" w14:textId="77777777" w:rsidR="00312FA5" w:rsidRDefault="00312FA5" w:rsidP="007E0EA9">
            <w:pPr>
              <w:contextualSpacing/>
              <w:jc w:val="center"/>
              <w:rPr>
                <w:rFonts w:eastAsia="Calibri"/>
                <w:szCs w:val="24"/>
              </w:rPr>
            </w:pPr>
            <w:r>
              <w:rPr>
                <w:rFonts w:eastAsia="Calibri"/>
                <w:szCs w:val="24"/>
              </w:rPr>
              <w:t>16.</w:t>
            </w:r>
          </w:p>
        </w:tc>
        <w:tc>
          <w:tcPr>
            <w:tcW w:w="4252" w:type="dxa"/>
            <w:shd w:val="clear" w:color="auto" w:fill="auto"/>
          </w:tcPr>
          <w:p w14:paraId="20F64447" w14:textId="77777777" w:rsidR="00312FA5" w:rsidRPr="00AA52B0" w:rsidRDefault="00312FA5" w:rsidP="007E0EA9">
            <w:pPr>
              <w:rPr>
                <w:szCs w:val="24"/>
              </w:rPr>
            </w:pPr>
            <w:r w:rsidRPr="00AA52B0">
              <w:rPr>
                <w:szCs w:val="24"/>
              </w:rPr>
              <w:t xml:space="preserve">Nepieciešams precizēt līguma 4.1.punktu, norādot ka </w:t>
            </w:r>
            <w:r>
              <w:rPr>
                <w:szCs w:val="24"/>
              </w:rPr>
              <w:t>i</w:t>
            </w:r>
            <w:r w:rsidRPr="00AA52B0">
              <w:rPr>
                <w:szCs w:val="24"/>
              </w:rPr>
              <w:t>zpildītājam ir pienākums sniegt vilces pakalpojumu tikai līguma 2.2.punktā norādītajiem vilces pakalpojuma pieteicējiem.</w:t>
            </w:r>
          </w:p>
        </w:tc>
        <w:tc>
          <w:tcPr>
            <w:tcW w:w="4536" w:type="dxa"/>
            <w:shd w:val="clear" w:color="auto" w:fill="auto"/>
          </w:tcPr>
          <w:p w14:paraId="22A61E9A" w14:textId="77777777" w:rsidR="00312FA5" w:rsidRPr="00F970EB" w:rsidRDefault="00312FA5" w:rsidP="007E0EA9">
            <w:pPr>
              <w:contextualSpacing/>
              <w:rPr>
                <w:bCs/>
                <w:szCs w:val="24"/>
                <w:highlight w:val="yellow"/>
              </w:rPr>
            </w:pPr>
            <w:r w:rsidRPr="0068126B">
              <w:rPr>
                <w:bCs/>
                <w:szCs w:val="24"/>
              </w:rPr>
              <w:t>Lūdzam skatīt sarunu procedūras Grozījumus Nr.1.</w:t>
            </w:r>
          </w:p>
        </w:tc>
      </w:tr>
      <w:tr w:rsidR="00312FA5" w:rsidRPr="005B77F6" w14:paraId="2596AAA9" w14:textId="77777777" w:rsidTr="00312FA5">
        <w:trPr>
          <w:trHeight w:val="839"/>
        </w:trPr>
        <w:tc>
          <w:tcPr>
            <w:tcW w:w="851" w:type="dxa"/>
            <w:shd w:val="clear" w:color="auto" w:fill="auto"/>
          </w:tcPr>
          <w:p w14:paraId="04F70ED8" w14:textId="77777777" w:rsidR="00312FA5" w:rsidRDefault="00312FA5" w:rsidP="007E0EA9">
            <w:pPr>
              <w:contextualSpacing/>
              <w:jc w:val="center"/>
              <w:rPr>
                <w:rFonts w:eastAsia="Calibri"/>
                <w:szCs w:val="24"/>
              </w:rPr>
            </w:pPr>
            <w:r>
              <w:rPr>
                <w:rFonts w:eastAsia="Calibri"/>
                <w:szCs w:val="24"/>
              </w:rPr>
              <w:t>17.</w:t>
            </w:r>
          </w:p>
        </w:tc>
        <w:tc>
          <w:tcPr>
            <w:tcW w:w="4252" w:type="dxa"/>
            <w:shd w:val="clear" w:color="auto" w:fill="auto"/>
          </w:tcPr>
          <w:p w14:paraId="15013044" w14:textId="77777777" w:rsidR="00312FA5" w:rsidRPr="008F4B0D" w:rsidRDefault="00312FA5" w:rsidP="007E0EA9">
            <w:pPr>
              <w:contextualSpacing/>
              <w:rPr>
                <w:szCs w:val="24"/>
              </w:rPr>
            </w:pPr>
            <w:r w:rsidRPr="008F4B0D">
              <w:rPr>
                <w:szCs w:val="24"/>
              </w:rPr>
              <w:t xml:space="preserve">Sarunu procedūras ar publikāciju </w:t>
            </w:r>
            <w:r w:rsidRPr="008F4B0D">
              <w:rPr>
                <w:color w:val="222222"/>
                <w:szCs w:val="24"/>
              </w:rPr>
              <w:t>„</w:t>
            </w:r>
            <w:r w:rsidRPr="008F4B0D">
              <w:rPr>
                <w:szCs w:val="24"/>
              </w:rPr>
              <w:t>Vilces pakalpojums Latvijas pierobežas iecirkņos līdz pieņemšanas/nodošanas dzelzceļa stacijām” nolikuma 2.pielikumā norādītā pieteikuma parauga 4.punktā ir norādīts ka pretendentam jāveic šādu apliecinājumu:</w:t>
            </w:r>
          </w:p>
          <w:p w14:paraId="69A5523A" w14:textId="77777777" w:rsidR="00312FA5" w:rsidRPr="008F4B0D" w:rsidRDefault="00312FA5" w:rsidP="007E0EA9">
            <w:pPr>
              <w:keepNext/>
              <w:contextualSpacing/>
              <w:rPr>
                <w:i/>
                <w:iCs/>
                <w:szCs w:val="24"/>
              </w:rPr>
            </w:pPr>
            <w:r w:rsidRPr="008F4B0D">
              <w:rPr>
                <w:i/>
                <w:iCs/>
                <w:szCs w:val="24"/>
              </w:rPr>
              <w:t>“</w:t>
            </w:r>
            <w:r w:rsidRPr="008F4B0D">
              <w:rPr>
                <w:b/>
                <w:bCs/>
                <w:i/>
                <w:iCs/>
                <w:szCs w:val="24"/>
              </w:rPr>
              <w:t>4.</w:t>
            </w:r>
            <w:r w:rsidRPr="008F4B0D">
              <w:rPr>
                <w:i/>
                <w:iCs/>
                <w:szCs w:val="24"/>
              </w:rPr>
              <w:t>   apliecina, ka norēķini ar pretendentu (izpildītāju) par sarunu procedūras priekšmetā minētā pakalpojuma izpildi tiek veikti reizi mēnesī līdz tekošā mēneša 20.datumam par iepriekšējā kalendārā mēneša atskaites periodu, pamatojoties uz</w:t>
            </w:r>
            <w:r w:rsidRPr="008F4B0D">
              <w:rPr>
                <w:b/>
                <w:bCs/>
                <w:i/>
                <w:iCs/>
                <w:color w:val="000000"/>
                <w:szCs w:val="24"/>
              </w:rPr>
              <w:t xml:space="preserve"> </w:t>
            </w:r>
            <w:r w:rsidRPr="008F4B0D">
              <w:rPr>
                <w:i/>
                <w:iCs/>
                <w:color w:val="222222"/>
                <w:szCs w:val="24"/>
              </w:rPr>
              <w:t>„</w:t>
            </w:r>
            <w:r w:rsidRPr="008F4B0D">
              <w:rPr>
                <w:i/>
                <w:iCs/>
                <w:szCs w:val="24"/>
              </w:rPr>
              <w:t xml:space="preserve">Detalizēta kārtība, kādā tiek nodrošināta vagonu uzskaite un pārrobežu pārvadājumi Latvijas teritorijā pierobežas iecirkņos līdz pieņemšanas/nodošanas stacijām” (apstiprināta ar VAS </w:t>
            </w:r>
            <w:r w:rsidRPr="008F4B0D">
              <w:rPr>
                <w:i/>
                <w:iCs/>
                <w:color w:val="222222"/>
                <w:szCs w:val="24"/>
              </w:rPr>
              <w:t>„</w:t>
            </w:r>
            <w:r w:rsidRPr="008F4B0D">
              <w:rPr>
                <w:i/>
                <w:iCs/>
                <w:szCs w:val="24"/>
              </w:rPr>
              <w:t xml:space="preserve">Latvijas dzelzceļš” 2021.gada 5.jūlija lēmumu </w:t>
            </w:r>
            <w:proofErr w:type="spellStart"/>
            <w:r w:rsidRPr="008F4B0D">
              <w:rPr>
                <w:i/>
                <w:iCs/>
                <w:color w:val="000000"/>
                <w:szCs w:val="24"/>
              </w:rPr>
              <w:t>Nr.VL</w:t>
            </w:r>
            <w:proofErr w:type="spellEnd"/>
            <w:r w:rsidRPr="008F4B0D">
              <w:rPr>
                <w:i/>
                <w:iCs/>
                <w:color w:val="000000"/>
                <w:szCs w:val="24"/>
              </w:rPr>
              <w:t xml:space="preserve"> – 34/246)</w:t>
            </w:r>
            <w:r w:rsidRPr="008F4B0D">
              <w:rPr>
                <w:i/>
                <w:iCs/>
                <w:szCs w:val="24"/>
              </w:rPr>
              <w:t xml:space="preserve"> noteikumiem un VAS </w:t>
            </w:r>
            <w:r w:rsidRPr="008F4B0D">
              <w:rPr>
                <w:i/>
                <w:iCs/>
                <w:color w:val="222222"/>
                <w:szCs w:val="24"/>
              </w:rPr>
              <w:t>„</w:t>
            </w:r>
            <w:r w:rsidRPr="008F4B0D">
              <w:rPr>
                <w:i/>
                <w:iCs/>
                <w:szCs w:val="24"/>
              </w:rPr>
              <w:t xml:space="preserve">Latvijas dzelzceļš” izsniegto elektroniski sagatavotu rēķinu, ievērojot Latvijas Republikas tiesību aktu noteikumus attiecībā uz rēķinu elektronisku </w:t>
            </w:r>
            <w:r w:rsidRPr="008F4B0D">
              <w:rPr>
                <w:i/>
                <w:iCs/>
                <w:szCs w:val="24"/>
              </w:rPr>
              <w:lastRenderedPageBreak/>
              <w:t>sagatavošanu, nosūtīšanu, saņemšanu un saglabāšanu”;</w:t>
            </w:r>
          </w:p>
          <w:p w14:paraId="06507DC0" w14:textId="77777777" w:rsidR="00312FA5" w:rsidRPr="008F4B0D" w:rsidRDefault="00312FA5" w:rsidP="007E0EA9">
            <w:pPr>
              <w:contextualSpacing/>
              <w:rPr>
                <w:szCs w:val="24"/>
              </w:rPr>
            </w:pPr>
            <w:r w:rsidRPr="008F4B0D">
              <w:rPr>
                <w:szCs w:val="24"/>
                <w:lang w:eastAsia="lv-LV"/>
              </w:rPr>
              <w:t>Jautājums par vārdiem “pretendentu (izpildītāju)”, -  saskaņā ar nolikuma 1.1.6.punktu, “</w:t>
            </w:r>
            <w:r w:rsidRPr="008F4B0D">
              <w:rPr>
                <w:szCs w:val="24"/>
              </w:rPr>
              <w:t>pretendents - izpildītājs, kurš ir iesniedzis piedāvājumu sarunu procedūrai”</w:t>
            </w:r>
          </w:p>
          <w:p w14:paraId="58F4D9D5" w14:textId="77777777" w:rsidR="00312FA5" w:rsidRPr="00AA52B0" w:rsidRDefault="00312FA5" w:rsidP="007E0EA9">
            <w:pPr>
              <w:contextualSpacing/>
              <w:rPr>
                <w:szCs w:val="24"/>
              </w:rPr>
            </w:pPr>
            <w:r w:rsidRPr="008F4B0D">
              <w:rPr>
                <w:szCs w:val="24"/>
              </w:rPr>
              <w:t>Kā pretendents var apliecināt, ka norēķini ar viņu pašu tiks veikti paredzētā kārtībā?</w:t>
            </w:r>
          </w:p>
        </w:tc>
        <w:tc>
          <w:tcPr>
            <w:tcW w:w="4536" w:type="dxa"/>
            <w:shd w:val="clear" w:color="auto" w:fill="auto"/>
          </w:tcPr>
          <w:p w14:paraId="4455AB3A" w14:textId="77777777" w:rsidR="00312FA5" w:rsidRPr="0068126B" w:rsidRDefault="00312FA5" w:rsidP="007E0EA9">
            <w:pPr>
              <w:contextualSpacing/>
              <w:rPr>
                <w:bCs/>
                <w:szCs w:val="24"/>
              </w:rPr>
            </w:pPr>
            <w:r w:rsidRPr="0068126B">
              <w:rPr>
                <w:bCs/>
                <w:szCs w:val="24"/>
              </w:rPr>
              <w:lastRenderedPageBreak/>
              <w:t>Lūdzam skatīt sarunu procedūras Grozījumus Nr.1.</w:t>
            </w:r>
          </w:p>
        </w:tc>
      </w:tr>
    </w:tbl>
    <w:p w14:paraId="29633357" w14:textId="77777777" w:rsidR="00312FA5" w:rsidRDefault="00312FA5" w:rsidP="00312FA5">
      <w:pPr>
        <w:ind w:right="-784"/>
        <w:jc w:val="right"/>
        <w:rPr>
          <w:rFonts w:eastAsia="Arial Unicode MS"/>
          <w:i/>
          <w:szCs w:val="24"/>
          <w:lang w:eastAsia="lv-LV"/>
        </w:rPr>
      </w:pPr>
    </w:p>
    <w:p w14:paraId="7FDDD83D"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EMBEDDE D_ 22+ Arial">
    <w:altName w:val="EMBEDDED"/>
    <w:panose1 w:val="00000000000000000000"/>
    <w:charset w:val="EE"/>
    <w:family w:val="swiss"/>
    <w:notTrueType/>
    <w:pitch w:val="default"/>
    <w:sig w:usb0="00000005" w:usb1="00000000" w:usb2="00000000" w:usb3="00000000" w:csb0="00000002" w:csb1="00000000"/>
  </w:font>
  <w:font w:name="Embedded_ Subset_ Arial">
    <w:altName w:val="Embedd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A5"/>
    <w:rsid w:val="00312FA5"/>
    <w:rsid w:val="003204EA"/>
    <w:rsid w:val="00455FB0"/>
    <w:rsid w:val="0098236C"/>
    <w:rsid w:val="00C204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136E"/>
  <w15:chartTrackingRefBased/>
  <w15:docId w15:val="{8C386545-54DD-433A-813D-5F40E50B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FA5"/>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312FA5"/>
    <w:pPr>
      <w:ind w:left="720"/>
      <w:contextualSpacing/>
      <w:jc w:val="left"/>
    </w:pPr>
    <w:rPr>
      <w:rFonts w:eastAsia="Calibri"/>
      <w:sz w:val="20"/>
      <w:szCs w:val="20"/>
      <w:lang w:eastAsia="lv-LV"/>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312FA5"/>
    <w:rPr>
      <w:rFonts w:ascii="Times New Roman" w:eastAsia="Calibri"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9075</Words>
  <Characters>5174</Characters>
  <Application>Microsoft Office Word</Application>
  <DocSecurity>0</DocSecurity>
  <Lines>43</Lines>
  <Paragraphs>28</Paragraphs>
  <ScaleCrop>false</ScaleCrop>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2021-12-02T14:01:00Z</dcterms:created>
  <dcterms:modified xsi:type="dcterms:W3CDTF">2021-12-02T14:01:00Z</dcterms:modified>
</cp:coreProperties>
</file>