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41D9" w14:textId="77777777" w:rsidR="00D82607" w:rsidRPr="008951BD" w:rsidRDefault="00D82607" w:rsidP="00D82607">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6B3BE3B1" w14:textId="77777777" w:rsidR="00D82607" w:rsidRPr="008951BD" w:rsidRDefault="00D82607" w:rsidP="00D82607">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Pr>
          <w:rFonts w:eastAsia="Arial Unicode MS"/>
          <w:i/>
          <w:szCs w:val="24"/>
          <w:lang w:eastAsia="lv-LV"/>
        </w:rPr>
        <w:t>27.septembr</w:t>
      </w:r>
      <w:r w:rsidRPr="008951BD">
        <w:rPr>
          <w:rFonts w:eastAsia="Arial Unicode MS"/>
          <w:i/>
          <w:szCs w:val="24"/>
          <w:lang w:eastAsia="lv-LV"/>
        </w:rPr>
        <w:t xml:space="preserve">a </w:t>
      </w:r>
    </w:p>
    <w:p w14:paraId="739AF08A" w14:textId="77777777" w:rsidR="00D82607" w:rsidRDefault="00D82607" w:rsidP="00D82607">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1A0AC610" w14:textId="77777777" w:rsidR="0098236C" w:rsidRDefault="0098236C">
      <w:pPr>
        <w:rPr>
          <w:rFonts w:ascii="Arial" w:hAnsi="Arial" w:cs="Arial"/>
        </w:rPr>
      </w:pPr>
    </w:p>
    <w:p w14:paraId="2A5D04E4" w14:textId="77777777" w:rsidR="00D82607" w:rsidRDefault="00D82607">
      <w:pPr>
        <w:rPr>
          <w:rFonts w:ascii="Arial" w:hAnsi="Arial" w:cs="Arial"/>
        </w:rPr>
      </w:pPr>
    </w:p>
    <w:p w14:paraId="4D9177B1" w14:textId="77777777" w:rsidR="00D82607" w:rsidRPr="008C7606" w:rsidRDefault="00D82607" w:rsidP="00D82607">
      <w:pPr>
        <w:jc w:val="center"/>
        <w:rPr>
          <w:b/>
        </w:rPr>
      </w:pPr>
      <w:r w:rsidRPr="008C7606">
        <w:rPr>
          <w:b/>
        </w:rPr>
        <w:t>VAS </w:t>
      </w:r>
      <w:r w:rsidRPr="008C7606">
        <w:rPr>
          <w:b/>
          <w:color w:val="222222"/>
        </w:rPr>
        <w:t>„</w:t>
      </w:r>
      <w:r w:rsidRPr="008C7606">
        <w:rPr>
          <w:b/>
        </w:rPr>
        <w:t>Latvijas dzelzceļš”</w:t>
      </w:r>
    </w:p>
    <w:p w14:paraId="60A9AB79" w14:textId="77777777" w:rsidR="00D82607" w:rsidRPr="008C7606" w:rsidRDefault="00D82607" w:rsidP="00D82607">
      <w:pPr>
        <w:ind w:left="142" w:right="-1"/>
        <w:jc w:val="center"/>
        <w:rPr>
          <w:b/>
        </w:rPr>
      </w:pPr>
      <w:r w:rsidRPr="008C7606">
        <w:rPr>
          <w:b/>
        </w:rPr>
        <w:t>sarunu procedūras ar publikāciju</w:t>
      </w:r>
    </w:p>
    <w:p w14:paraId="6824298E" w14:textId="77777777" w:rsidR="00D82607" w:rsidRPr="008C7606" w:rsidRDefault="00D82607" w:rsidP="00D82607">
      <w:pPr>
        <w:ind w:left="284" w:right="282"/>
        <w:jc w:val="center"/>
        <w:rPr>
          <w:b/>
          <w:szCs w:val="24"/>
        </w:rPr>
      </w:pPr>
      <w:r w:rsidRPr="008C7606">
        <w:rPr>
          <w:b/>
          <w:color w:val="222222"/>
          <w:szCs w:val="24"/>
        </w:rPr>
        <w:t>„</w:t>
      </w:r>
      <w:r w:rsidRPr="008C7606">
        <w:rPr>
          <w:b/>
          <w:szCs w:val="24"/>
        </w:rPr>
        <w:t>Automatizēta tvaika katla apkures sistēmas projektēšana un uzstādīšana</w:t>
      </w:r>
    </w:p>
    <w:p w14:paraId="4E5B1C4E" w14:textId="77777777" w:rsidR="00D82607" w:rsidRDefault="00D82607" w:rsidP="00D82607">
      <w:pPr>
        <w:ind w:left="284" w:right="282"/>
        <w:jc w:val="center"/>
        <w:rPr>
          <w:b/>
          <w:color w:val="222222"/>
          <w:szCs w:val="24"/>
        </w:rPr>
      </w:pPr>
      <w:r w:rsidRPr="008C7606">
        <w:rPr>
          <w:b/>
          <w:szCs w:val="24"/>
        </w:rPr>
        <w:t xml:space="preserve"> SIA </w:t>
      </w:r>
      <w:r w:rsidRPr="008C7606">
        <w:rPr>
          <w:b/>
          <w:color w:val="222222"/>
          <w:szCs w:val="24"/>
        </w:rPr>
        <w:t>„LDZ ritošā sastāva serviss” vajadzībām”</w:t>
      </w:r>
    </w:p>
    <w:p w14:paraId="1859AF82" w14:textId="77777777" w:rsidR="00D82607" w:rsidRPr="00FE620E" w:rsidRDefault="00D82607" w:rsidP="00D82607">
      <w:pPr>
        <w:ind w:left="284" w:right="282"/>
        <w:jc w:val="center"/>
        <w:rPr>
          <w:bCs/>
          <w:color w:val="222222"/>
          <w:szCs w:val="24"/>
        </w:rPr>
      </w:pPr>
      <w:r w:rsidRPr="00FE620E">
        <w:rPr>
          <w:bCs/>
          <w:szCs w:val="24"/>
        </w:rPr>
        <w:t>(turpmāk – sarunu procedūra)</w:t>
      </w:r>
    </w:p>
    <w:p w14:paraId="43AED988" w14:textId="77777777" w:rsidR="00D82607" w:rsidRPr="008C7606" w:rsidRDefault="00D82607" w:rsidP="00D82607">
      <w:pPr>
        <w:ind w:left="284" w:right="282"/>
        <w:jc w:val="center"/>
        <w:rPr>
          <w:rFonts w:eastAsia="Calibri"/>
          <w:b/>
        </w:rPr>
      </w:pPr>
    </w:p>
    <w:p w14:paraId="25DBFEF0" w14:textId="77777777" w:rsidR="00D82607" w:rsidRPr="008C7606" w:rsidRDefault="00D82607" w:rsidP="00D82607">
      <w:pPr>
        <w:ind w:left="284" w:right="282"/>
        <w:jc w:val="center"/>
        <w:rPr>
          <w:rFonts w:eastAsia="Calibri"/>
          <w:b/>
        </w:rPr>
      </w:pPr>
      <w:r w:rsidRPr="008C7606">
        <w:rPr>
          <w:rFonts w:eastAsia="Calibri"/>
          <w:b/>
        </w:rPr>
        <w:t>Skaidrojums Nr.1</w:t>
      </w:r>
    </w:p>
    <w:p w14:paraId="03D01070" w14:textId="77777777" w:rsidR="00D82607" w:rsidRPr="00B42926" w:rsidRDefault="00D82607" w:rsidP="00D82607">
      <w:pPr>
        <w:ind w:left="284" w:right="282"/>
        <w:jc w:val="center"/>
        <w:rPr>
          <w:rFonts w:eastAsia="Calibri"/>
          <w:b/>
          <w:highlight w:val="yellow"/>
        </w:rPr>
      </w:pPr>
    </w:p>
    <w:tbl>
      <w:tblPr>
        <w:tblW w:w="9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19"/>
      </w:tblGrid>
      <w:tr w:rsidR="00D82607" w:rsidRPr="00B42926" w14:paraId="40856AB8" w14:textId="77777777" w:rsidTr="00D82607">
        <w:trPr>
          <w:trHeight w:val="584"/>
        </w:trPr>
        <w:tc>
          <w:tcPr>
            <w:tcW w:w="709" w:type="dxa"/>
            <w:shd w:val="clear" w:color="auto" w:fill="FFF2CC"/>
            <w:vAlign w:val="center"/>
          </w:tcPr>
          <w:p w14:paraId="60134498" w14:textId="77777777" w:rsidR="00D82607" w:rsidRPr="008C7606" w:rsidRDefault="00D82607" w:rsidP="00D5503C">
            <w:pPr>
              <w:contextualSpacing/>
              <w:jc w:val="center"/>
              <w:rPr>
                <w:rFonts w:eastAsia="Calibri"/>
                <w:b/>
              </w:rPr>
            </w:pPr>
            <w:r w:rsidRPr="008C7606">
              <w:rPr>
                <w:rFonts w:eastAsia="Calibri"/>
                <w:b/>
              </w:rPr>
              <w:t>Nr.</w:t>
            </w:r>
          </w:p>
          <w:p w14:paraId="5E3B65FD" w14:textId="77777777" w:rsidR="00D82607" w:rsidRPr="008C7606" w:rsidRDefault="00D82607" w:rsidP="00D5503C">
            <w:pPr>
              <w:contextualSpacing/>
              <w:jc w:val="center"/>
              <w:rPr>
                <w:rFonts w:eastAsia="Calibri"/>
                <w:b/>
              </w:rPr>
            </w:pPr>
            <w:r w:rsidRPr="008C7606">
              <w:rPr>
                <w:rFonts w:eastAsia="Calibri"/>
                <w:b/>
              </w:rPr>
              <w:t>p.k.</w:t>
            </w:r>
          </w:p>
        </w:tc>
        <w:tc>
          <w:tcPr>
            <w:tcW w:w="4678" w:type="dxa"/>
            <w:shd w:val="clear" w:color="auto" w:fill="FFF2CC"/>
            <w:vAlign w:val="center"/>
          </w:tcPr>
          <w:p w14:paraId="27C494E5" w14:textId="77777777" w:rsidR="00D82607" w:rsidRPr="008C7606" w:rsidRDefault="00D82607" w:rsidP="00D5503C">
            <w:pPr>
              <w:contextualSpacing/>
              <w:jc w:val="center"/>
              <w:rPr>
                <w:rFonts w:eastAsia="Calibri"/>
                <w:b/>
                <w:i/>
              </w:rPr>
            </w:pPr>
            <w:r w:rsidRPr="008C7606">
              <w:rPr>
                <w:rFonts w:eastAsia="Calibri"/>
                <w:b/>
                <w:i/>
              </w:rPr>
              <w:t>Jautājums</w:t>
            </w:r>
          </w:p>
        </w:tc>
        <w:tc>
          <w:tcPr>
            <w:tcW w:w="4519" w:type="dxa"/>
            <w:shd w:val="clear" w:color="auto" w:fill="FFF2CC"/>
            <w:vAlign w:val="center"/>
          </w:tcPr>
          <w:p w14:paraId="3B90E3F1" w14:textId="77777777" w:rsidR="00D82607" w:rsidRPr="008C7606" w:rsidRDefault="00D82607" w:rsidP="00D5503C">
            <w:pPr>
              <w:contextualSpacing/>
              <w:jc w:val="center"/>
              <w:rPr>
                <w:rFonts w:eastAsia="Calibri"/>
                <w:b/>
                <w:i/>
              </w:rPr>
            </w:pPr>
            <w:r w:rsidRPr="008C7606">
              <w:rPr>
                <w:rFonts w:eastAsia="Calibri"/>
                <w:b/>
                <w:i/>
              </w:rPr>
              <w:t>Atbilde</w:t>
            </w:r>
          </w:p>
        </w:tc>
      </w:tr>
      <w:tr w:rsidR="00D82607" w:rsidRPr="001B0D7A" w14:paraId="6A159538" w14:textId="77777777" w:rsidTr="00D82607">
        <w:trPr>
          <w:trHeight w:val="2523"/>
        </w:trPr>
        <w:tc>
          <w:tcPr>
            <w:tcW w:w="709" w:type="dxa"/>
            <w:shd w:val="clear" w:color="auto" w:fill="auto"/>
          </w:tcPr>
          <w:p w14:paraId="595BEA56" w14:textId="77777777" w:rsidR="00D82607" w:rsidRPr="008C7606" w:rsidRDefault="00D82607" w:rsidP="00D5503C">
            <w:pPr>
              <w:contextualSpacing/>
              <w:jc w:val="center"/>
              <w:rPr>
                <w:rFonts w:eastAsia="Calibri"/>
              </w:rPr>
            </w:pPr>
            <w:r w:rsidRPr="008C7606">
              <w:rPr>
                <w:rFonts w:eastAsia="Calibri"/>
              </w:rPr>
              <w:t>1.</w:t>
            </w:r>
          </w:p>
        </w:tc>
        <w:tc>
          <w:tcPr>
            <w:tcW w:w="4678" w:type="dxa"/>
            <w:shd w:val="clear" w:color="auto" w:fill="auto"/>
          </w:tcPr>
          <w:p w14:paraId="3639C8BF" w14:textId="77777777" w:rsidR="00D82607" w:rsidRPr="008C7606" w:rsidRDefault="00D82607" w:rsidP="00D5503C">
            <w:pPr>
              <w:autoSpaceDE w:val="0"/>
              <w:autoSpaceDN w:val="0"/>
              <w:adjustRightInd w:val="0"/>
              <w:rPr>
                <w:szCs w:val="24"/>
              </w:rPr>
            </w:pPr>
            <w:r w:rsidRPr="008C7606">
              <w:rPr>
                <w:szCs w:val="24"/>
              </w:rPr>
              <w:t>Nolikuma 3.2.8. punktā:</w:t>
            </w:r>
          </w:p>
          <w:p w14:paraId="61D7299E" w14:textId="77777777" w:rsidR="00D82607" w:rsidRPr="008C7606" w:rsidRDefault="00D82607" w:rsidP="00D5503C">
            <w:pPr>
              <w:autoSpaceDE w:val="0"/>
              <w:autoSpaceDN w:val="0"/>
              <w:adjustRightInd w:val="0"/>
              <w:rPr>
                <w:i/>
                <w:iCs/>
                <w:szCs w:val="24"/>
              </w:rPr>
            </w:pPr>
            <w:r w:rsidRPr="003B748C">
              <w:rPr>
                <w:bCs/>
                <w:i/>
                <w:iCs/>
                <w:color w:val="222222"/>
              </w:rPr>
              <w:t>„</w:t>
            </w:r>
            <w:r w:rsidRPr="008C7606">
              <w:rPr>
                <w:i/>
                <w:iCs/>
                <w:szCs w:val="24"/>
              </w:rPr>
              <w:t>pretendents darbu izpildei nodrošina sertificētu un pieredzējušu būvdarbu vadītāju, kas ir</w:t>
            </w:r>
          </w:p>
          <w:p w14:paraId="16647143" w14:textId="77777777" w:rsidR="00D82607" w:rsidRPr="008C7606" w:rsidRDefault="00D82607" w:rsidP="00D5503C">
            <w:pPr>
              <w:autoSpaceDE w:val="0"/>
              <w:autoSpaceDN w:val="0"/>
              <w:adjustRightInd w:val="0"/>
              <w:rPr>
                <w:i/>
                <w:iCs/>
                <w:szCs w:val="24"/>
              </w:rPr>
            </w:pPr>
            <w:r w:rsidRPr="008C7606">
              <w:rPr>
                <w:i/>
                <w:iCs/>
                <w:szCs w:val="24"/>
              </w:rPr>
              <w:t xml:space="preserve">reģistrēts Latvijas Republikas Būvniecības informācijas sistēmas </w:t>
            </w:r>
            <w:proofErr w:type="spellStart"/>
            <w:r w:rsidRPr="008C7606">
              <w:rPr>
                <w:i/>
                <w:iCs/>
                <w:szCs w:val="24"/>
              </w:rPr>
              <w:t>Būvspeciālistu</w:t>
            </w:r>
            <w:proofErr w:type="spellEnd"/>
            <w:r w:rsidRPr="008C7606">
              <w:rPr>
                <w:i/>
                <w:iCs/>
                <w:szCs w:val="24"/>
              </w:rPr>
              <w:t xml:space="preserve"> reģistrā</w:t>
            </w:r>
            <w:r>
              <w:rPr>
                <w:i/>
                <w:iCs/>
                <w:szCs w:val="24"/>
              </w:rPr>
              <w:t xml:space="preserve"> </w:t>
            </w:r>
            <w:r w:rsidRPr="008C7606">
              <w:rPr>
                <w:i/>
                <w:iCs/>
                <w:szCs w:val="24"/>
              </w:rPr>
              <w:t xml:space="preserve">būvdarbu vadīšanas un </w:t>
            </w:r>
            <w:r w:rsidRPr="008C7606">
              <w:rPr>
                <w:b/>
                <w:bCs/>
                <w:i/>
                <w:iCs/>
                <w:szCs w:val="24"/>
              </w:rPr>
              <w:t xml:space="preserve">būvuzraudzības </w:t>
            </w:r>
            <w:r w:rsidRPr="008C7606">
              <w:rPr>
                <w:i/>
                <w:iCs/>
                <w:szCs w:val="24"/>
              </w:rPr>
              <w:t xml:space="preserve">jomā, kā arī sertificētu </w:t>
            </w:r>
            <w:proofErr w:type="spellStart"/>
            <w:r w:rsidRPr="008C7606">
              <w:rPr>
                <w:i/>
                <w:iCs/>
                <w:szCs w:val="24"/>
              </w:rPr>
              <w:t>būvspeciālistu</w:t>
            </w:r>
            <w:proofErr w:type="spellEnd"/>
            <w:r w:rsidRPr="008C7606">
              <w:rPr>
                <w:i/>
                <w:iCs/>
                <w:szCs w:val="24"/>
              </w:rPr>
              <w:t xml:space="preserve"> siltumapgādes,</w:t>
            </w:r>
            <w:r>
              <w:rPr>
                <w:i/>
                <w:iCs/>
                <w:szCs w:val="24"/>
              </w:rPr>
              <w:t xml:space="preserve"> </w:t>
            </w:r>
            <w:r w:rsidRPr="008C7606">
              <w:rPr>
                <w:i/>
                <w:iCs/>
                <w:szCs w:val="24"/>
              </w:rPr>
              <w:t>ventilācijas un gaisa kondicionēšanas sistēmu projektēšanā”</w:t>
            </w:r>
          </w:p>
          <w:p w14:paraId="2659C92B" w14:textId="77777777" w:rsidR="00D82607" w:rsidRPr="003B748C" w:rsidRDefault="00D82607" w:rsidP="00D5503C">
            <w:pPr>
              <w:autoSpaceDE w:val="0"/>
              <w:autoSpaceDN w:val="0"/>
              <w:adjustRightInd w:val="0"/>
              <w:rPr>
                <w:szCs w:val="24"/>
              </w:rPr>
            </w:pPr>
            <w:r w:rsidRPr="008C7606">
              <w:rPr>
                <w:szCs w:val="24"/>
              </w:rPr>
              <w:t>Būsim pateicīgi saņemt skaidrojumus par būvuzraudzības prasības pamatotību nolikuma</w:t>
            </w:r>
            <w:r>
              <w:rPr>
                <w:szCs w:val="24"/>
              </w:rPr>
              <w:t xml:space="preserve"> </w:t>
            </w:r>
            <w:r w:rsidRPr="008C7606">
              <w:rPr>
                <w:szCs w:val="24"/>
              </w:rPr>
              <w:t>3.2.8.punktā, ņemot vērā, ka būvuzraudzību līguma izpildes laikā nodrošina pasūtītājs.</w:t>
            </w:r>
          </w:p>
        </w:tc>
        <w:tc>
          <w:tcPr>
            <w:tcW w:w="4519" w:type="dxa"/>
            <w:shd w:val="clear" w:color="auto" w:fill="auto"/>
          </w:tcPr>
          <w:p w14:paraId="5D874871" w14:textId="77777777" w:rsidR="00D82607" w:rsidRPr="008C7606" w:rsidRDefault="00D82607" w:rsidP="00D5503C">
            <w:pPr>
              <w:contextualSpacing/>
              <w:rPr>
                <w:szCs w:val="24"/>
                <w:lang w:eastAsia="lv-LV"/>
              </w:rPr>
            </w:pPr>
            <w:r>
              <w:rPr>
                <w:szCs w:val="24"/>
                <w:lang w:eastAsia="lv-LV"/>
              </w:rPr>
              <w:t>Lūdzam skatīt sarunu procedūras grozījumus Nr.1.</w:t>
            </w:r>
          </w:p>
          <w:p w14:paraId="29F2FE61" w14:textId="77777777" w:rsidR="00D82607" w:rsidRPr="008C7606" w:rsidRDefault="00D82607" w:rsidP="00D5503C">
            <w:pPr>
              <w:pStyle w:val="Sarakstarindkopa"/>
              <w:tabs>
                <w:tab w:val="left" w:pos="567"/>
              </w:tabs>
              <w:ind w:left="0"/>
              <w:jc w:val="both"/>
              <w:rPr>
                <w:bCs/>
                <w:sz w:val="24"/>
                <w:szCs w:val="24"/>
              </w:rPr>
            </w:pPr>
            <w:r>
              <w:rPr>
                <w:sz w:val="24"/>
                <w:szCs w:val="24"/>
              </w:rPr>
              <w:t>Vienlaikus norādām, ka p</w:t>
            </w:r>
            <w:r w:rsidRPr="002F66B9">
              <w:rPr>
                <w:sz w:val="24"/>
                <w:szCs w:val="24"/>
              </w:rPr>
              <w:t xml:space="preserve">iedāvājumu iesniegšanas termiņš tiek pagarināts līdz </w:t>
            </w:r>
            <w:r w:rsidRPr="002F66B9">
              <w:rPr>
                <w:b/>
                <w:bCs/>
                <w:sz w:val="24"/>
                <w:szCs w:val="24"/>
              </w:rPr>
              <w:t>202</w:t>
            </w:r>
            <w:r>
              <w:rPr>
                <w:b/>
                <w:bCs/>
                <w:sz w:val="24"/>
                <w:szCs w:val="24"/>
              </w:rPr>
              <w:t>1</w:t>
            </w:r>
            <w:r w:rsidRPr="002F66B9">
              <w:rPr>
                <w:b/>
                <w:bCs/>
                <w:sz w:val="24"/>
                <w:szCs w:val="24"/>
              </w:rPr>
              <w:t xml:space="preserve">.gada </w:t>
            </w:r>
            <w:r>
              <w:rPr>
                <w:b/>
                <w:bCs/>
                <w:sz w:val="24"/>
                <w:szCs w:val="24"/>
              </w:rPr>
              <w:t>5</w:t>
            </w:r>
            <w:r w:rsidRPr="002F66B9">
              <w:rPr>
                <w:b/>
                <w:bCs/>
                <w:sz w:val="24"/>
                <w:szCs w:val="24"/>
              </w:rPr>
              <w:t>.</w:t>
            </w:r>
            <w:r>
              <w:rPr>
                <w:b/>
                <w:bCs/>
                <w:sz w:val="24"/>
                <w:szCs w:val="24"/>
              </w:rPr>
              <w:t>oktobrim</w:t>
            </w:r>
            <w:r w:rsidRPr="002F66B9">
              <w:rPr>
                <w:sz w:val="24"/>
                <w:szCs w:val="24"/>
              </w:rPr>
              <w:t>.</w:t>
            </w:r>
          </w:p>
        </w:tc>
      </w:tr>
      <w:tr w:rsidR="00D82607" w:rsidRPr="00AD6309" w14:paraId="7BDD7986" w14:textId="77777777" w:rsidTr="00D82607">
        <w:trPr>
          <w:trHeight w:val="1003"/>
        </w:trPr>
        <w:tc>
          <w:tcPr>
            <w:tcW w:w="709" w:type="dxa"/>
            <w:shd w:val="clear" w:color="auto" w:fill="auto"/>
          </w:tcPr>
          <w:p w14:paraId="590A7835" w14:textId="77777777" w:rsidR="00D82607" w:rsidRPr="00AD6309" w:rsidRDefault="00D82607" w:rsidP="00D5503C">
            <w:pPr>
              <w:contextualSpacing/>
              <w:jc w:val="center"/>
              <w:rPr>
                <w:rFonts w:eastAsia="Calibri"/>
                <w:szCs w:val="24"/>
              </w:rPr>
            </w:pPr>
            <w:r w:rsidRPr="00AD6309">
              <w:rPr>
                <w:rFonts w:eastAsia="Calibri"/>
                <w:szCs w:val="24"/>
              </w:rPr>
              <w:t>2.</w:t>
            </w:r>
          </w:p>
        </w:tc>
        <w:tc>
          <w:tcPr>
            <w:tcW w:w="4678" w:type="dxa"/>
            <w:shd w:val="clear" w:color="auto" w:fill="auto"/>
          </w:tcPr>
          <w:p w14:paraId="01B2748E" w14:textId="77777777" w:rsidR="00D82607" w:rsidRPr="00AD6309" w:rsidRDefault="00D82607" w:rsidP="00D5503C">
            <w:pPr>
              <w:rPr>
                <w:szCs w:val="24"/>
              </w:rPr>
            </w:pPr>
            <w:r w:rsidRPr="00AD6309">
              <w:rPr>
                <w:szCs w:val="24"/>
              </w:rPr>
              <w:t xml:space="preserve">Atsaucoties uz publicēto Sarunu procedūras ar publikāciju </w:t>
            </w:r>
            <w:r w:rsidRPr="00AD6309">
              <w:rPr>
                <w:bCs/>
                <w:color w:val="222222"/>
              </w:rPr>
              <w:t>„</w:t>
            </w:r>
            <w:r w:rsidRPr="00AD6309">
              <w:rPr>
                <w:szCs w:val="24"/>
              </w:rPr>
              <w:t xml:space="preserve">Automatizēta tvaika katla apkures sistēmas projektēšana un uzstādīšana SIA </w:t>
            </w:r>
            <w:r w:rsidRPr="00AD6309">
              <w:rPr>
                <w:bCs/>
                <w:color w:val="222222"/>
              </w:rPr>
              <w:t>„</w:t>
            </w:r>
            <w:r w:rsidRPr="00AD6309">
              <w:rPr>
                <w:szCs w:val="24"/>
              </w:rPr>
              <w:t>LD</w:t>
            </w:r>
            <w:r>
              <w:rPr>
                <w:szCs w:val="24"/>
              </w:rPr>
              <w:t>Z</w:t>
            </w:r>
            <w:r w:rsidRPr="00AD6309">
              <w:rPr>
                <w:szCs w:val="24"/>
              </w:rPr>
              <w:t xml:space="preserve"> ritošā sastāva serviss” vajadzībām” nolikumu, vēlamies Jūs informēt, ka izvērtējot nolikuma prasības, esam konstatējuši, ka nevaram piedāvāt nolikumā prasītās katlu mājas izbūvi norādītajā termiņā. Pēc vietas apskates tika konstatēts, ka tiek plānots konteinera tipa katlu māju novietot zaļajā zonā. </w:t>
            </w:r>
          </w:p>
          <w:p w14:paraId="362E2342" w14:textId="77777777" w:rsidR="00D82607" w:rsidRPr="00AD6309" w:rsidRDefault="00D82607" w:rsidP="00D5503C">
            <w:pPr>
              <w:ind w:firstLine="284"/>
              <w:rPr>
                <w:szCs w:val="24"/>
              </w:rPr>
            </w:pPr>
            <w:r w:rsidRPr="00AD6309">
              <w:rPr>
                <w:szCs w:val="24"/>
              </w:rPr>
              <w:t>Izvērtējot pieejamo informāciju, vēlamies Jums piedāvāt risinājumu ar jaunas, nolikumam atbilstošas katl</w:t>
            </w:r>
            <w:r>
              <w:rPr>
                <w:szCs w:val="24"/>
              </w:rPr>
              <w:t xml:space="preserve">a </w:t>
            </w:r>
            <w:r w:rsidRPr="00AD6309">
              <w:rPr>
                <w:szCs w:val="24"/>
              </w:rPr>
              <w:t xml:space="preserve">iekārtas ievietošanu esošajā katlu mājā. Šāds risinājums ļautu samazināt izmaksas, kas saistītas ar konteinera un tā aprīkojuma izgatavošanu, kā arī izmaksas, kas saistītas ar būvprojekta izstrādi, saskaņošanu un realizāciju. Piedāvājam atrast vietu esošajā katlu mājā, demontējot vienu no esošajiem tvaika katliem un tā vietā uzstādot jaunu, </w:t>
            </w:r>
            <w:r w:rsidRPr="00AD6309">
              <w:rPr>
                <w:szCs w:val="24"/>
              </w:rPr>
              <w:lastRenderedPageBreak/>
              <w:t xml:space="preserve">mūsdienu prasībām un nolikumā minēto standartu prasībām atbilstošu un ekonomisku tvaika katlu ar minētajiem parametriem. </w:t>
            </w:r>
          </w:p>
          <w:p w14:paraId="230B733F" w14:textId="77777777" w:rsidR="00D82607" w:rsidRPr="00AD6309" w:rsidRDefault="00D82607" w:rsidP="00D5503C">
            <w:pPr>
              <w:ind w:firstLine="284"/>
              <w:rPr>
                <w:szCs w:val="24"/>
              </w:rPr>
            </w:pPr>
            <w:r w:rsidRPr="00AD6309">
              <w:rPr>
                <w:szCs w:val="24"/>
              </w:rPr>
              <w:t>Atsaucoties un papildinot nolikuma prasības varam piedāvāt:</w:t>
            </w:r>
          </w:p>
          <w:p w14:paraId="09510152"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Tvaika katls ar ražību 800 kg/h pie spiediena 6 bar un barošanas ūdens temperatūru 103</w:t>
            </w:r>
            <w:r w:rsidRPr="00AD6309">
              <w:rPr>
                <w:rFonts w:eastAsia="Times New Roman"/>
                <w:sz w:val="24"/>
                <w:szCs w:val="24"/>
                <w:vertAlign w:val="superscript"/>
              </w:rPr>
              <w:t>o</w:t>
            </w:r>
            <w:r w:rsidRPr="00AD6309">
              <w:rPr>
                <w:rFonts w:eastAsia="Times New Roman"/>
                <w:sz w:val="24"/>
                <w:szCs w:val="24"/>
              </w:rPr>
              <w:t>C;</w:t>
            </w:r>
          </w:p>
          <w:p w14:paraId="03AC5A92"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Barošanas ūdens tvertne atbilstoši tvaika katla izmēram un ražībai;</w:t>
            </w:r>
          </w:p>
          <w:p w14:paraId="061B33DD"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Pilnībā automatizēta nopūšana un sāļu kontrole katla ūdenī;</w:t>
            </w:r>
          </w:p>
          <w:p w14:paraId="5CA147D3"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Attālināta piekļuves sistēma katla iekārtas uzraudzībai (ar iespēju paplašināt visas katlu mājas uzraudzību);</w:t>
            </w:r>
          </w:p>
          <w:p w14:paraId="324D5FBE"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Automātiski trauksmes ziņojumi uz norādītajiem telefona numuriem vai e-pastiem;</w:t>
            </w:r>
          </w:p>
          <w:p w14:paraId="5D5EB9B0"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Datu nolasīšanas sistēma ar datu uzglabāšanu un attālinātu piekļuvi;</w:t>
            </w:r>
          </w:p>
          <w:p w14:paraId="16068196"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 xml:space="preserve">Papildināt katlu mājā esošās ūdens sagatavošanas iekārtas, paredzot augstas pakāpes sāļu un cietības attīrīšanu piebarošanas ūdenī, tādejādi samazinot nopūšanas apjomus un ietaupot līdz 15% </w:t>
            </w:r>
            <w:proofErr w:type="spellStart"/>
            <w:r w:rsidRPr="00AD6309">
              <w:rPr>
                <w:rFonts w:eastAsia="Times New Roman"/>
                <w:sz w:val="24"/>
                <w:szCs w:val="24"/>
              </w:rPr>
              <w:t>energo</w:t>
            </w:r>
            <w:proofErr w:type="spellEnd"/>
            <w:r w:rsidRPr="00AD6309">
              <w:rPr>
                <w:rFonts w:eastAsia="Times New Roman"/>
                <w:sz w:val="24"/>
                <w:szCs w:val="24"/>
              </w:rPr>
              <w:t xml:space="preserve"> resursus tvaika ražošanai;</w:t>
            </w:r>
          </w:p>
          <w:p w14:paraId="12A61982"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Servisa apkalpošanas protokolu un darba uzdevumu elektronisku versiju ar attālinātas piekļuves iespēju Pasūtītājam;</w:t>
            </w:r>
          </w:p>
          <w:p w14:paraId="092D44AE" w14:textId="77777777" w:rsidR="00D82607" w:rsidRPr="00AD6309" w:rsidRDefault="00D82607" w:rsidP="00D82607">
            <w:pPr>
              <w:pStyle w:val="Sarakstarindkopa"/>
              <w:numPr>
                <w:ilvl w:val="0"/>
                <w:numId w:val="1"/>
              </w:numPr>
              <w:ind w:left="223" w:hanging="207"/>
              <w:contextualSpacing w:val="0"/>
              <w:jc w:val="both"/>
              <w:rPr>
                <w:rFonts w:eastAsia="Times New Roman"/>
                <w:sz w:val="24"/>
                <w:szCs w:val="24"/>
              </w:rPr>
            </w:pPr>
            <w:r w:rsidRPr="00AD6309">
              <w:rPr>
                <w:rFonts w:eastAsia="Times New Roman"/>
                <w:sz w:val="24"/>
                <w:szCs w:val="24"/>
              </w:rPr>
              <w:t>Servisa ātrās reaģēšanas laiku ne ilgāk kā 2 stundu laikā darba laikā un ne ilgāk kā 4 stundu laikā ārpus darba laika.</w:t>
            </w:r>
          </w:p>
          <w:p w14:paraId="28B08062" w14:textId="77777777" w:rsidR="00D82607" w:rsidRPr="00AD6309" w:rsidRDefault="00D82607" w:rsidP="00D5503C">
            <w:pPr>
              <w:rPr>
                <w:szCs w:val="24"/>
              </w:rPr>
            </w:pPr>
            <w:r w:rsidRPr="00AD6309">
              <w:rPr>
                <w:szCs w:val="24"/>
              </w:rPr>
              <w:t>Šāda projekta realizācijas laiks: 3 – 4 mēnešu laikā no Līguma noslēgšanas brīža.</w:t>
            </w:r>
          </w:p>
          <w:p w14:paraId="1639F9C9" w14:textId="77777777" w:rsidR="00D82607" w:rsidRPr="00AD6309" w:rsidRDefault="00D82607" w:rsidP="00D5503C">
            <w:pPr>
              <w:rPr>
                <w:szCs w:val="24"/>
              </w:rPr>
            </w:pPr>
            <w:r w:rsidRPr="00AD6309">
              <w:rPr>
                <w:szCs w:val="24"/>
              </w:rPr>
              <w:t>Šāda projekta izmaksas: XXX EUR (bez PVN).</w:t>
            </w:r>
          </w:p>
          <w:p w14:paraId="493040C0" w14:textId="77777777" w:rsidR="00D82607" w:rsidRPr="00AD6309" w:rsidRDefault="00D82607" w:rsidP="00D5503C">
            <w:pPr>
              <w:rPr>
                <w:szCs w:val="24"/>
              </w:rPr>
            </w:pPr>
            <w:r w:rsidRPr="00AD6309">
              <w:rPr>
                <w:szCs w:val="24"/>
              </w:rPr>
              <w:t xml:space="preserve">Servisa apkalpošanas izmaksas: </w:t>
            </w:r>
            <w:r>
              <w:rPr>
                <w:szCs w:val="24"/>
              </w:rPr>
              <w:t>XXX</w:t>
            </w:r>
            <w:r w:rsidRPr="00AD6309">
              <w:rPr>
                <w:szCs w:val="24"/>
              </w:rPr>
              <w:t xml:space="preserve"> EUR/mēnesī (bez PVN).</w:t>
            </w:r>
          </w:p>
          <w:p w14:paraId="5B30F072" w14:textId="77777777" w:rsidR="00D82607" w:rsidRPr="00AD6309" w:rsidRDefault="00D82607" w:rsidP="00D5503C">
            <w:pPr>
              <w:rPr>
                <w:szCs w:val="24"/>
              </w:rPr>
            </w:pPr>
            <w:r w:rsidRPr="00AD6309">
              <w:rPr>
                <w:szCs w:val="24"/>
              </w:rPr>
              <w:t xml:space="preserve">Papildus varam piedāvāt arī pilna servisa nodrošinājumu, kurā ir iekļautas visas steidzamo izsaukumu, rezerves daļu, ķimikāliju u.c. ar katlu darbināšanu saistītās izmaksas (izņemot </w:t>
            </w:r>
            <w:proofErr w:type="spellStart"/>
            <w:r w:rsidRPr="00AD6309">
              <w:rPr>
                <w:szCs w:val="24"/>
              </w:rPr>
              <w:t>energo</w:t>
            </w:r>
            <w:proofErr w:type="spellEnd"/>
            <w:r w:rsidRPr="00AD6309">
              <w:rPr>
                <w:szCs w:val="24"/>
              </w:rPr>
              <w:t xml:space="preserve"> resursus – degvielu (gāzi), elektrību un ūdeni).</w:t>
            </w:r>
          </w:p>
          <w:p w14:paraId="7F85386D" w14:textId="77777777" w:rsidR="00D82607" w:rsidRPr="00AD6309" w:rsidRDefault="00D82607" w:rsidP="00D5503C">
            <w:pPr>
              <w:rPr>
                <w:szCs w:val="24"/>
              </w:rPr>
            </w:pPr>
            <w:r w:rsidRPr="00AD6309">
              <w:rPr>
                <w:szCs w:val="24"/>
              </w:rPr>
              <w:t xml:space="preserve">Pilna servisa apkalpošanas izmaksas: </w:t>
            </w:r>
            <w:r>
              <w:rPr>
                <w:szCs w:val="24"/>
              </w:rPr>
              <w:t>XXX</w:t>
            </w:r>
            <w:r w:rsidRPr="00AD6309">
              <w:rPr>
                <w:szCs w:val="24"/>
              </w:rPr>
              <w:t xml:space="preserve"> EUR/mēnesī (bez PVN).</w:t>
            </w:r>
          </w:p>
        </w:tc>
        <w:tc>
          <w:tcPr>
            <w:tcW w:w="4519" w:type="dxa"/>
            <w:shd w:val="clear" w:color="auto" w:fill="auto"/>
          </w:tcPr>
          <w:p w14:paraId="34D2A6D5" w14:textId="77777777" w:rsidR="00D82607" w:rsidRDefault="00D82607" w:rsidP="00D5503C">
            <w:pPr>
              <w:contextualSpacing/>
              <w:rPr>
                <w:szCs w:val="24"/>
                <w:lang w:eastAsia="lv-LV"/>
              </w:rPr>
            </w:pPr>
            <w:r>
              <w:rPr>
                <w:szCs w:val="24"/>
                <w:lang w:eastAsia="lv-LV"/>
              </w:rPr>
              <w:lastRenderedPageBreak/>
              <w:t>Lūdzam skatīt sarunu procedūras grozījumus Nr.1.</w:t>
            </w:r>
          </w:p>
          <w:p w14:paraId="10570F53" w14:textId="77777777" w:rsidR="00D82607" w:rsidRPr="008C7606" w:rsidRDefault="00D82607" w:rsidP="00D5503C">
            <w:pPr>
              <w:contextualSpacing/>
              <w:rPr>
                <w:szCs w:val="24"/>
                <w:lang w:eastAsia="lv-LV"/>
              </w:rPr>
            </w:pPr>
            <w:r>
              <w:rPr>
                <w:szCs w:val="24"/>
              </w:rPr>
              <w:t>Vienlaikus norādām, ka p</w:t>
            </w:r>
            <w:r w:rsidRPr="002F66B9">
              <w:rPr>
                <w:szCs w:val="24"/>
              </w:rPr>
              <w:t xml:space="preserve">iedāvājumu iesniegšanas termiņš tiek pagarināts līdz </w:t>
            </w:r>
            <w:r w:rsidRPr="002F66B9">
              <w:rPr>
                <w:b/>
                <w:bCs/>
                <w:szCs w:val="24"/>
              </w:rPr>
              <w:t>202</w:t>
            </w:r>
            <w:r>
              <w:rPr>
                <w:b/>
                <w:bCs/>
                <w:szCs w:val="24"/>
              </w:rPr>
              <w:t>1</w:t>
            </w:r>
            <w:r w:rsidRPr="002F66B9">
              <w:rPr>
                <w:b/>
                <w:bCs/>
                <w:szCs w:val="24"/>
              </w:rPr>
              <w:t xml:space="preserve">.gada </w:t>
            </w:r>
            <w:r>
              <w:rPr>
                <w:b/>
                <w:bCs/>
                <w:szCs w:val="24"/>
              </w:rPr>
              <w:t>5</w:t>
            </w:r>
            <w:r w:rsidRPr="002F66B9">
              <w:rPr>
                <w:b/>
                <w:bCs/>
                <w:szCs w:val="24"/>
              </w:rPr>
              <w:t>.</w:t>
            </w:r>
            <w:r>
              <w:rPr>
                <w:b/>
                <w:bCs/>
                <w:szCs w:val="24"/>
              </w:rPr>
              <w:t>oktobrim</w:t>
            </w:r>
            <w:r w:rsidRPr="002F66B9">
              <w:rPr>
                <w:szCs w:val="24"/>
              </w:rPr>
              <w:t>.</w:t>
            </w:r>
          </w:p>
          <w:p w14:paraId="76F3A3BD" w14:textId="77777777" w:rsidR="00D82607" w:rsidRPr="00AD6309" w:rsidRDefault="00D82607" w:rsidP="00D5503C">
            <w:pPr>
              <w:contextualSpacing/>
              <w:rPr>
                <w:szCs w:val="24"/>
                <w:highlight w:val="yellow"/>
                <w:lang w:eastAsia="lv-LV"/>
              </w:rPr>
            </w:pPr>
          </w:p>
        </w:tc>
      </w:tr>
      <w:tr w:rsidR="00D82607" w:rsidRPr="00AD6309" w14:paraId="02F1D7A3" w14:textId="77777777" w:rsidTr="00D82607">
        <w:trPr>
          <w:trHeight w:val="1003"/>
        </w:trPr>
        <w:tc>
          <w:tcPr>
            <w:tcW w:w="709" w:type="dxa"/>
            <w:shd w:val="clear" w:color="auto" w:fill="auto"/>
          </w:tcPr>
          <w:p w14:paraId="7A8C1139" w14:textId="77777777" w:rsidR="00D82607" w:rsidRPr="00AD6309" w:rsidRDefault="00D82607" w:rsidP="00D5503C">
            <w:pPr>
              <w:contextualSpacing/>
              <w:jc w:val="center"/>
              <w:rPr>
                <w:rFonts w:eastAsia="Calibri"/>
                <w:szCs w:val="24"/>
              </w:rPr>
            </w:pPr>
            <w:r>
              <w:rPr>
                <w:rFonts w:eastAsia="Calibri"/>
                <w:szCs w:val="24"/>
              </w:rPr>
              <w:t>3.</w:t>
            </w:r>
          </w:p>
        </w:tc>
        <w:tc>
          <w:tcPr>
            <w:tcW w:w="4678" w:type="dxa"/>
            <w:shd w:val="clear" w:color="auto" w:fill="auto"/>
          </w:tcPr>
          <w:p w14:paraId="6A7DA82C" w14:textId="77777777" w:rsidR="00D82607" w:rsidRPr="00A30CBA" w:rsidRDefault="00D82607" w:rsidP="00D5503C">
            <w:pPr>
              <w:pStyle w:val="Vienkrsteksts"/>
              <w:jc w:val="both"/>
              <w:rPr>
                <w:rFonts w:ascii="Times New Roman" w:hAnsi="Times New Roman" w:cs="Times New Roman"/>
                <w:sz w:val="24"/>
                <w:szCs w:val="24"/>
              </w:rPr>
            </w:pPr>
            <w:r w:rsidRPr="00A30CBA">
              <w:rPr>
                <w:rFonts w:ascii="Times New Roman" w:hAnsi="Times New Roman" w:cs="Times New Roman"/>
                <w:sz w:val="24"/>
                <w:szCs w:val="24"/>
              </w:rPr>
              <w:t>Vai sertifikāts no ražotāja, kas apliecina mūsu tiesības uzstādīt piedāvāto aprīkojumu var būt angļu valodā?</w:t>
            </w:r>
          </w:p>
          <w:p w14:paraId="71A9928C" w14:textId="77777777" w:rsidR="00D82607" w:rsidRPr="00A30CBA" w:rsidRDefault="00D82607" w:rsidP="00D5503C">
            <w:pPr>
              <w:ind w:firstLine="284"/>
              <w:rPr>
                <w:szCs w:val="24"/>
              </w:rPr>
            </w:pPr>
          </w:p>
        </w:tc>
        <w:tc>
          <w:tcPr>
            <w:tcW w:w="4519" w:type="dxa"/>
            <w:shd w:val="clear" w:color="auto" w:fill="auto"/>
          </w:tcPr>
          <w:p w14:paraId="1167FAA6" w14:textId="77777777" w:rsidR="00D82607" w:rsidRPr="00552C8A" w:rsidRDefault="00D82607" w:rsidP="00D5503C">
            <w:pPr>
              <w:pStyle w:val="Vienkrsteksts"/>
              <w:jc w:val="both"/>
              <w:rPr>
                <w:rFonts w:ascii="Times New Roman" w:hAnsi="Times New Roman" w:cs="Times New Roman"/>
                <w:sz w:val="24"/>
                <w:szCs w:val="24"/>
              </w:rPr>
            </w:pPr>
            <w:r w:rsidRPr="00552C8A">
              <w:rPr>
                <w:rFonts w:ascii="Times New Roman" w:hAnsi="Times New Roman" w:cs="Times New Roman"/>
                <w:sz w:val="24"/>
                <w:szCs w:val="24"/>
              </w:rPr>
              <w:t xml:space="preserve">Norādām, ka saskaņā ar sarunu procedūras nolikuma 1.7.3.punktā noteikto noformēšanas prasību, pretendentam piedāvājumu jāiesniedz cauršūtu vai </w:t>
            </w:r>
            <w:r w:rsidRPr="00552C8A">
              <w:rPr>
                <w:rFonts w:ascii="Times New Roman" w:hAnsi="Times New Roman" w:cs="Times New Roman"/>
                <w:sz w:val="24"/>
                <w:szCs w:val="24"/>
              </w:rPr>
              <w:lastRenderedPageBreak/>
              <w:t>caurauklotu, rakstveidā latviešu valodā vai citā valodā, pievienojot apliecinātu tulkojumu latviešu valodā.</w:t>
            </w:r>
          </w:p>
          <w:p w14:paraId="5D077A76" w14:textId="77777777" w:rsidR="00D82607" w:rsidRPr="00A30CBA" w:rsidRDefault="00D82607" w:rsidP="00D5503C">
            <w:pPr>
              <w:pStyle w:val="Vienkrsteksts"/>
              <w:jc w:val="both"/>
              <w:rPr>
                <w:rFonts w:ascii="Times New Roman" w:hAnsi="Times New Roman" w:cs="Times New Roman"/>
                <w:sz w:val="24"/>
                <w:szCs w:val="24"/>
              </w:rPr>
            </w:pPr>
            <w:r w:rsidRPr="00552C8A">
              <w:rPr>
                <w:rFonts w:ascii="Times New Roman" w:hAnsi="Times New Roman" w:cs="Times New Roman"/>
                <w:sz w:val="24"/>
                <w:szCs w:val="24"/>
              </w:rPr>
              <w:t>Izņēmums prasībai par piedāvājuma dokumentu (tulkojumu) iesniegšanai latviešu valodā var tikt piemērots uz sarunu procedūras nolikuma 1.8.4.punktā noteikto iesniedzamo dokumentāciju, kas var tikt iesniegta angļu vai krievu valodā. Gadījumā, ja iepirkuma komisijai tomēr nebūs pilnībā saprotams minētās iesniegtās dokumentācijas saturs, tai ir tiesības pieprasīt no pretendenta tuvāko 3 (trīs) darba dienu laikā iesniegt atbilstošu tulkojumu latviešu valodā.</w:t>
            </w:r>
          </w:p>
        </w:tc>
      </w:tr>
    </w:tbl>
    <w:p w14:paraId="12EA48BB" w14:textId="77777777" w:rsidR="00D82607" w:rsidRDefault="00D82607" w:rsidP="00D82607">
      <w:pPr>
        <w:rPr>
          <w:szCs w:val="24"/>
        </w:rPr>
      </w:pPr>
    </w:p>
    <w:p w14:paraId="40F4F079" w14:textId="77777777" w:rsidR="00D82607" w:rsidRDefault="00D82607" w:rsidP="00D82607">
      <w:pPr>
        <w:rPr>
          <w:szCs w:val="24"/>
        </w:rPr>
      </w:pPr>
    </w:p>
    <w:p w14:paraId="0FBA27D4" w14:textId="77777777" w:rsidR="00D82607" w:rsidRDefault="00D82607" w:rsidP="00D82607">
      <w:pPr>
        <w:rPr>
          <w:szCs w:val="24"/>
        </w:rPr>
      </w:pPr>
    </w:p>
    <w:p w14:paraId="7396A9A2" w14:textId="77777777" w:rsidR="00D82607" w:rsidRPr="00C20434" w:rsidRDefault="00D82607">
      <w:pPr>
        <w:rPr>
          <w:rFonts w:ascii="Arial" w:hAnsi="Arial" w:cs="Arial"/>
        </w:rPr>
      </w:pPr>
    </w:p>
    <w:sectPr w:rsidR="00D82607"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D0AC4"/>
    <w:multiLevelType w:val="hybridMultilevel"/>
    <w:tmpl w:val="6D68BA4A"/>
    <w:lvl w:ilvl="0" w:tplc="866C4D1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07"/>
    <w:rsid w:val="003204EA"/>
    <w:rsid w:val="0098236C"/>
    <w:rsid w:val="00B373E0"/>
    <w:rsid w:val="00C20434"/>
    <w:rsid w:val="00D82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DBD7"/>
  <w15:chartTrackingRefBased/>
  <w15:docId w15:val="{21DEC63D-469B-44AA-A9FA-A3F38FDA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2607"/>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D82607"/>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82607"/>
    <w:rPr>
      <w:rFonts w:ascii="Times New Roman" w:eastAsia="Calibri" w:hAnsi="Times New Roman" w:cs="Times New Roman"/>
      <w:sz w:val="20"/>
      <w:szCs w:val="20"/>
      <w:lang w:eastAsia="lv-LV"/>
    </w:rPr>
  </w:style>
  <w:style w:type="paragraph" w:styleId="Vienkrsteksts">
    <w:name w:val="Plain Text"/>
    <w:basedOn w:val="Parasts"/>
    <w:link w:val="VienkrstekstsRakstz"/>
    <w:uiPriority w:val="99"/>
    <w:unhideWhenUsed/>
    <w:rsid w:val="00D82607"/>
    <w:pPr>
      <w:jc w:val="left"/>
    </w:pPr>
    <w:rPr>
      <w:rFonts w:ascii="Arial" w:hAnsi="Arial" w:cstheme="minorBidi"/>
      <w:sz w:val="20"/>
      <w:szCs w:val="21"/>
    </w:rPr>
  </w:style>
  <w:style w:type="character" w:customStyle="1" w:styleId="VienkrstekstsRakstz">
    <w:name w:val="Vienkāršs teksts Rakstz."/>
    <w:basedOn w:val="Noklusjumarindkopasfonts"/>
    <w:link w:val="Vienkrsteksts"/>
    <w:uiPriority w:val="99"/>
    <w:rsid w:val="00D82607"/>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2857</Words>
  <Characters>1629</Characters>
  <Application>Microsoft Office Word</Application>
  <DocSecurity>0</DocSecurity>
  <Lines>13</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2021-09-27T08:03:00Z</dcterms:created>
  <dcterms:modified xsi:type="dcterms:W3CDTF">2021-09-27T08:03:00Z</dcterms:modified>
</cp:coreProperties>
</file>