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46D3" w14:textId="77777777" w:rsidR="0002741B" w:rsidRPr="00AB3184" w:rsidRDefault="0002741B" w:rsidP="0002741B">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0428B8CA" w14:textId="0C30E14C" w:rsidR="0002741B" w:rsidRPr="008951BD" w:rsidRDefault="0002741B" w:rsidP="0002741B">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20.septembra</w:t>
      </w:r>
      <w:r w:rsidRPr="008951BD">
        <w:rPr>
          <w:rFonts w:eastAsia="Arial Unicode MS"/>
          <w:i/>
          <w:szCs w:val="24"/>
          <w:lang w:eastAsia="lv-LV"/>
        </w:rPr>
        <w:t xml:space="preserve"> </w:t>
      </w:r>
    </w:p>
    <w:p w14:paraId="2945D056" w14:textId="77777777" w:rsidR="0002741B" w:rsidRDefault="0002741B" w:rsidP="0002741B">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76563A7F" w14:textId="77777777" w:rsidR="0002741B" w:rsidRDefault="0002741B" w:rsidP="0002741B">
      <w:pPr>
        <w:rPr>
          <w:rFonts w:ascii="Arial" w:hAnsi="Arial" w:cs="Arial"/>
        </w:rPr>
      </w:pPr>
    </w:p>
    <w:p w14:paraId="42FCE822" w14:textId="3D7FADBB" w:rsidR="0098236C" w:rsidRDefault="0098236C">
      <w:pPr>
        <w:rPr>
          <w:rFonts w:ascii="Arial" w:hAnsi="Arial" w:cs="Arial"/>
        </w:rPr>
      </w:pPr>
    </w:p>
    <w:p w14:paraId="6638B40D" w14:textId="28603DC0" w:rsidR="0002741B" w:rsidRDefault="0002741B">
      <w:pPr>
        <w:rPr>
          <w:rFonts w:ascii="Arial" w:hAnsi="Arial" w:cs="Arial"/>
        </w:rPr>
      </w:pPr>
    </w:p>
    <w:p w14:paraId="690DCAB1" w14:textId="77777777" w:rsidR="0002741B" w:rsidRPr="006D0793" w:rsidRDefault="0002741B" w:rsidP="0002741B">
      <w:pPr>
        <w:jc w:val="center"/>
        <w:rPr>
          <w:b/>
        </w:rPr>
      </w:pPr>
      <w:r w:rsidRPr="006D0793">
        <w:rPr>
          <w:b/>
        </w:rPr>
        <w:t>VAS </w:t>
      </w:r>
      <w:r w:rsidRPr="006D0793">
        <w:rPr>
          <w:b/>
          <w:color w:val="222222"/>
        </w:rPr>
        <w:t>„</w:t>
      </w:r>
      <w:r w:rsidRPr="006D0793">
        <w:rPr>
          <w:b/>
        </w:rPr>
        <w:t>Latvijas dzelzceļš”</w:t>
      </w:r>
    </w:p>
    <w:p w14:paraId="5125D219" w14:textId="77777777" w:rsidR="0002741B" w:rsidRPr="006D0793" w:rsidRDefault="0002741B" w:rsidP="0002741B">
      <w:pPr>
        <w:ind w:left="142" w:right="-1"/>
        <w:jc w:val="center"/>
        <w:rPr>
          <w:b/>
        </w:rPr>
      </w:pPr>
      <w:r w:rsidRPr="006D0793">
        <w:rPr>
          <w:b/>
        </w:rPr>
        <w:t>sarunu procedūras ar publikāciju</w:t>
      </w:r>
    </w:p>
    <w:p w14:paraId="32F9F534" w14:textId="77777777" w:rsidR="0002741B" w:rsidRPr="00AE684D" w:rsidRDefault="0002741B" w:rsidP="0002741B">
      <w:pPr>
        <w:ind w:left="284" w:right="282"/>
        <w:jc w:val="center"/>
        <w:rPr>
          <w:b/>
          <w:bCs/>
          <w:color w:val="222222"/>
          <w:szCs w:val="24"/>
        </w:rPr>
      </w:pPr>
      <w:r w:rsidRPr="006D0793">
        <w:rPr>
          <w:b/>
          <w:bCs/>
          <w:color w:val="222222"/>
          <w:szCs w:val="24"/>
        </w:rPr>
        <w:t>„</w:t>
      </w:r>
      <w:r w:rsidRPr="00AE684D">
        <w:rPr>
          <w:b/>
          <w:bCs/>
          <w:szCs w:val="24"/>
        </w:rPr>
        <w:t>Dabasgāzes piegāde „Latvijas dzelzceļš” koncerna vajadzībām</w:t>
      </w:r>
      <w:r w:rsidRPr="00AE684D">
        <w:rPr>
          <w:b/>
          <w:bCs/>
          <w:color w:val="222222"/>
          <w:szCs w:val="24"/>
        </w:rPr>
        <w:t>”</w:t>
      </w:r>
    </w:p>
    <w:p w14:paraId="3A40A9DA" w14:textId="77777777" w:rsidR="0002741B" w:rsidRPr="001E3C08" w:rsidRDefault="0002741B" w:rsidP="0002741B">
      <w:pPr>
        <w:ind w:left="284" w:right="282"/>
        <w:jc w:val="center"/>
        <w:rPr>
          <w:bCs/>
          <w:color w:val="222222"/>
          <w:szCs w:val="24"/>
        </w:rPr>
      </w:pPr>
      <w:r w:rsidRPr="00AE684D">
        <w:rPr>
          <w:bCs/>
          <w:szCs w:val="24"/>
        </w:rPr>
        <w:t>(turpmāk – iepirkums)</w:t>
      </w:r>
    </w:p>
    <w:p w14:paraId="5DC0E17E" w14:textId="77777777" w:rsidR="0002741B" w:rsidRPr="00E57F1F" w:rsidRDefault="0002741B" w:rsidP="0002741B">
      <w:pPr>
        <w:ind w:left="284" w:right="282"/>
        <w:jc w:val="center"/>
        <w:rPr>
          <w:rFonts w:eastAsia="Calibri"/>
          <w:b/>
          <w:highlight w:val="yellow"/>
        </w:rPr>
      </w:pPr>
    </w:p>
    <w:p w14:paraId="4B977BAF" w14:textId="77777777" w:rsidR="0002741B" w:rsidRPr="006D0793" w:rsidRDefault="0002741B" w:rsidP="0002741B">
      <w:pPr>
        <w:ind w:left="284" w:right="282"/>
        <w:jc w:val="center"/>
        <w:rPr>
          <w:rFonts w:eastAsia="Calibri"/>
          <w:b/>
        </w:rPr>
      </w:pPr>
      <w:r w:rsidRPr="006D0793">
        <w:rPr>
          <w:rFonts w:eastAsia="Calibri"/>
          <w:b/>
        </w:rPr>
        <w:t>Skaidrojums Nr.1</w:t>
      </w:r>
    </w:p>
    <w:p w14:paraId="0D70CB68" w14:textId="77777777" w:rsidR="0002741B" w:rsidRPr="00E57F1F" w:rsidRDefault="0002741B" w:rsidP="0002741B">
      <w:pPr>
        <w:ind w:left="284" w:right="282"/>
        <w:jc w:val="center"/>
        <w:rPr>
          <w:rFonts w:eastAsia="Calibri"/>
          <w:b/>
          <w:highlight w:val="yellow"/>
        </w:rPr>
      </w:pPr>
    </w:p>
    <w:tbl>
      <w:tblPr>
        <w:tblW w:w="1013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4459"/>
      </w:tblGrid>
      <w:tr w:rsidR="0002741B" w:rsidRPr="00333A5F" w14:paraId="1B8125FD" w14:textId="77777777" w:rsidTr="0002741B">
        <w:trPr>
          <w:trHeight w:val="659"/>
        </w:trPr>
        <w:tc>
          <w:tcPr>
            <w:tcW w:w="709" w:type="dxa"/>
            <w:shd w:val="clear" w:color="auto" w:fill="FFF2CC"/>
            <w:vAlign w:val="center"/>
          </w:tcPr>
          <w:p w14:paraId="3B381EA9" w14:textId="77777777" w:rsidR="0002741B" w:rsidRPr="00333A5F" w:rsidRDefault="0002741B" w:rsidP="004057B5">
            <w:pPr>
              <w:contextualSpacing/>
              <w:jc w:val="center"/>
              <w:rPr>
                <w:rFonts w:eastAsia="Calibri"/>
                <w:b/>
                <w:szCs w:val="24"/>
              </w:rPr>
            </w:pPr>
            <w:r w:rsidRPr="00333A5F">
              <w:rPr>
                <w:rFonts w:eastAsia="Calibri"/>
                <w:b/>
                <w:szCs w:val="24"/>
              </w:rPr>
              <w:t>Nr.</w:t>
            </w:r>
          </w:p>
          <w:p w14:paraId="72FD16FA" w14:textId="77777777" w:rsidR="0002741B" w:rsidRPr="00333A5F" w:rsidRDefault="0002741B" w:rsidP="004057B5">
            <w:pPr>
              <w:contextualSpacing/>
              <w:jc w:val="center"/>
              <w:rPr>
                <w:rFonts w:eastAsia="Calibri"/>
                <w:b/>
                <w:szCs w:val="24"/>
              </w:rPr>
            </w:pPr>
            <w:r w:rsidRPr="00333A5F">
              <w:rPr>
                <w:rFonts w:eastAsia="Calibri"/>
                <w:b/>
                <w:szCs w:val="24"/>
              </w:rPr>
              <w:t>p.k.</w:t>
            </w:r>
          </w:p>
        </w:tc>
        <w:tc>
          <w:tcPr>
            <w:tcW w:w="4962" w:type="dxa"/>
            <w:shd w:val="clear" w:color="auto" w:fill="FFF2CC"/>
            <w:vAlign w:val="center"/>
          </w:tcPr>
          <w:p w14:paraId="72677000" w14:textId="77777777" w:rsidR="0002741B" w:rsidRPr="00333A5F" w:rsidRDefault="0002741B" w:rsidP="004057B5">
            <w:pPr>
              <w:contextualSpacing/>
              <w:jc w:val="center"/>
              <w:rPr>
                <w:rFonts w:eastAsia="Calibri"/>
                <w:b/>
                <w:i/>
                <w:szCs w:val="24"/>
              </w:rPr>
            </w:pPr>
            <w:r w:rsidRPr="00333A5F">
              <w:rPr>
                <w:rFonts w:eastAsia="Calibri"/>
                <w:b/>
                <w:i/>
                <w:szCs w:val="24"/>
              </w:rPr>
              <w:t>Jautājums</w:t>
            </w:r>
          </w:p>
        </w:tc>
        <w:tc>
          <w:tcPr>
            <w:tcW w:w="4459" w:type="dxa"/>
            <w:shd w:val="clear" w:color="auto" w:fill="FFF2CC"/>
            <w:vAlign w:val="center"/>
          </w:tcPr>
          <w:p w14:paraId="0540A185" w14:textId="77777777" w:rsidR="0002741B" w:rsidRPr="00333A5F" w:rsidRDefault="0002741B" w:rsidP="004057B5">
            <w:pPr>
              <w:contextualSpacing/>
              <w:jc w:val="center"/>
              <w:rPr>
                <w:rFonts w:eastAsia="Calibri"/>
                <w:b/>
                <w:i/>
                <w:szCs w:val="24"/>
              </w:rPr>
            </w:pPr>
            <w:r w:rsidRPr="00333A5F">
              <w:rPr>
                <w:rFonts w:eastAsia="Calibri"/>
                <w:b/>
                <w:i/>
                <w:szCs w:val="24"/>
              </w:rPr>
              <w:t>Atbilde</w:t>
            </w:r>
          </w:p>
        </w:tc>
      </w:tr>
      <w:tr w:rsidR="0002741B" w:rsidRPr="00333A5F" w14:paraId="026931AE" w14:textId="77777777" w:rsidTr="0002741B">
        <w:trPr>
          <w:trHeight w:val="845"/>
        </w:trPr>
        <w:tc>
          <w:tcPr>
            <w:tcW w:w="709" w:type="dxa"/>
            <w:shd w:val="clear" w:color="auto" w:fill="auto"/>
          </w:tcPr>
          <w:p w14:paraId="449B1701" w14:textId="77777777" w:rsidR="0002741B" w:rsidRPr="00333A5F" w:rsidRDefault="0002741B" w:rsidP="004057B5">
            <w:pPr>
              <w:contextualSpacing/>
              <w:jc w:val="center"/>
              <w:rPr>
                <w:rFonts w:eastAsia="Calibri"/>
                <w:szCs w:val="24"/>
              </w:rPr>
            </w:pPr>
            <w:r w:rsidRPr="00333A5F">
              <w:rPr>
                <w:rFonts w:eastAsia="Calibri"/>
                <w:szCs w:val="24"/>
              </w:rPr>
              <w:t>1.</w:t>
            </w:r>
          </w:p>
        </w:tc>
        <w:tc>
          <w:tcPr>
            <w:tcW w:w="4962" w:type="dxa"/>
            <w:shd w:val="clear" w:color="auto" w:fill="auto"/>
          </w:tcPr>
          <w:p w14:paraId="0CCE4EC5" w14:textId="77777777" w:rsidR="0002741B" w:rsidRPr="00AE684D" w:rsidRDefault="0002741B" w:rsidP="004057B5">
            <w:pPr>
              <w:keepLines/>
              <w:autoSpaceDE w:val="0"/>
              <w:autoSpaceDN w:val="0"/>
              <w:adjustRightInd w:val="0"/>
              <w:contextualSpacing/>
              <w:rPr>
                <w:i/>
                <w:iCs/>
                <w:color w:val="000000"/>
                <w:szCs w:val="24"/>
              </w:rPr>
            </w:pPr>
            <w:r w:rsidRPr="00AE684D">
              <w:rPr>
                <w:rFonts w:eastAsia="Times New Roman"/>
                <w:szCs w:val="24"/>
              </w:rPr>
              <w:t>„</w:t>
            </w:r>
            <w:r w:rsidRPr="00AE684D">
              <w:rPr>
                <w:color w:val="000000"/>
                <w:szCs w:val="24"/>
              </w:rPr>
              <w:t xml:space="preserve">XXX” aicina Nolikuma 5.pielikumā  pievienotā līguma projekta (turpmāk – līguma projekts) 5.3.6. apakšpunktu papildināt ar nosacījumu, cik dienas pirms attiecīgā kalendārā mēneša beigām Lietotājam ir pienākums informēt Tirgotāju par Lietotāja vēlmi pirkt dabasgāzi citiem papildus objektiem, vai kādā objektā pārtraukt dabasgāzes iegādi, lai nodrošinātu Ministru kabineta 07.02.2017. noteikumu Nr. 78 </w:t>
            </w:r>
            <w:r w:rsidRPr="00AE684D">
              <w:rPr>
                <w:rFonts w:eastAsia="Times New Roman"/>
                <w:szCs w:val="24"/>
              </w:rPr>
              <w:t>„</w:t>
            </w:r>
            <w:r w:rsidRPr="00AE684D">
              <w:rPr>
                <w:color w:val="000000"/>
                <w:szCs w:val="24"/>
              </w:rPr>
              <w:t xml:space="preserve">Dabasgāzes tirdzniecības un lietošanas noteikumi” (turpmāk – MK Noteikumi) izpildi. </w:t>
            </w:r>
            <w:r w:rsidRPr="00AE684D">
              <w:rPr>
                <w:rFonts w:eastAsia="Times New Roman"/>
                <w:szCs w:val="24"/>
              </w:rPr>
              <w:t>„</w:t>
            </w:r>
            <w:r w:rsidRPr="00AE684D">
              <w:rPr>
                <w:color w:val="000000"/>
                <w:szCs w:val="24"/>
              </w:rPr>
              <w:t xml:space="preserve">XXX” piedāvā noteikt līguma projekta 5.3.6. apakšpunktu šādā redakcijā: </w:t>
            </w:r>
            <w:r w:rsidRPr="00AE684D">
              <w:rPr>
                <w:rFonts w:eastAsia="Times New Roman"/>
                <w:i/>
                <w:iCs/>
                <w:szCs w:val="24"/>
              </w:rPr>
              <w:t>„</w:t>
            </w:r>
            <w:r w:rsidRPr="00AE684D">
              <w:rPr>
                <w:i/>
                <w:iCs/>
                <w:color w:val="000000"/>
                <w:szCs w:val="24"/>
              </w:rPr>
              <w:t>Lietotājs Līguma ietvaros nav saistīts ar konkrētu dabasgāzes apjomu un pērk dabasgāzi pēc nepieciešamības. Līdz ar to Gazifikācijas objektu saraksts var tikt mainīts (t.i. papildināts vai samazināts) atbilstoši Lietotāja nepieciešamībai. Lietotājs rakstveidā informē Tirgotāju vismaz 21 (divdesmit vienu) dienu pirms attiecīgā kalendārā mēneša beigām, ja Lietotājs vēlas izslēgt no Līguma dabasgāzi patērējošo objektu vai vēlas pirkt dabasgāzi citā objektā, kas nav norādīts Līgumā. Šādā gadījumā atsevišķa Līdzēju rakstiska vienošanās par objekta izslēgšanu vai iekļaušanu Līgumā pēc tam, kad Tirgotājs ir saņēmis Lietotāja paziņojumu, nav nepieciešama, taču var tikt noslēgta, ja kāds no Līdzējiem to pieprasa. Attiecības ar sistēmas operatoru Lietotājs risina atsevišķi.”</w:t>
            </w:r>
          </w:p>
        </w:tc>
        <w:tc>
          <w:tcPr>
            <w:tcW w:w="4459" w:type="dxa"/>
            <w:shd w:val="clear" w:color="auto" w:fill="auto"/>
          </w:tcPr>
          <w:p w14:paraId="61B08107" w14:textId="77777777" w:rsidR="0002741B" w:rsidRPr="00AE684D" w:rsidRDefault="0002741B" w:rsidP="004057B5">
            <w:pPr>
              <w:contextualSpacing/>
              <w:rPr>
                <w:szCs w:val="24"/>
                <w:lang w:eastAsia="lv-LV"/>
              </w:rPr>
            </w:pPr>
            <w:r w:rsidRPr="00AE684D">
              <w:rPr>
                <w:szCs w:val="24"/>
                <w:lang w:eastAsia="lv-LV"/>
              </w:rPr>
              <w:t>Lūdzam skatīt iepirkuma Grozījumus Nr.1.</w:t>
            </w:r>
          </w:p>
          <w:p w14:paraId="4B52E2DA" w14:textId="77777777" w:rsidR="0002741B" w:rsidRPr="00AE684D" w:rsidRDefault="0002741B" w:rsidP="004057B5">
            <w:pPr>
              <w:contextualSpacing/>
              <w:rPr>
                <w:szCs w:val="24"/>
                <w:lang w:eastAsia="lv-LV"/>
              </w:rPr>
            </w:pPr>
          </w:p>
          <w:p w14:paraId="45D5A1F5" w14:textId="77777777" w:rsidR="0002741B" w:rsidRPr="00AE684D" w:rsidRDefault="0002741B" w:rsidP="004057B5">
            <w:pPr>
              <w:contextualSpacing/>
              <w:rPr>
                <w:szCs w:val="24"/>
                <w:lang w:eastAsia="lv-LV"/>
              </w:rPr>
            </w:pPr>
          </w:p>
          <w:p w14:paraId="2FB308E6" w14:textId="77777777" w:rsidR="0002741B" w:rsidRPr="00AE684D" w:rsidRDefault="0002741B" w:rsidP="004057B5">
            <w:pPr>
              <w:pStyle w:val="Sarakstarindkopa"/>
              <w:tabs>
                <w:tab w:val="left" w:pos="567"/>
              </w:tabs>
              <w:ind w:left="0"/>
              <w:jc w:val="both"/>
              <w:rPr>
                <w:bCs/>
                <w:sz w:val="24"/>
                <w:szCs w:val="24"/>
              </w:rPr>
            </w:pPr>
          </w:p>
        </w:tc>
      </w:tr>
      <w:tr w:rsidR="0002741B" w:rsidRPr="00333A5F" w14:paraId="23DE5495" w14:textId="77777777" w:rsidTr="0002741B">
        <w:trPr>
          <w:trHeight w:val="845"/>
        </w:trPr>
        <w:tc>
          <w:tcPr>
            <w:tcW w:w="709" w:type="dxa"/>
            <w:shd w:val="clear" w:color="auto" w:fill="auto"/>
          </w:tcPr>
          <w:p w14:paraId="18A396B0" w14:textId="77777777" w:rsidR="0002741B" w:rsidRPr="00333A5F" w:rsidRDefault="0002741B" w:rsidP="004057B5">
            <w:pPr>
              <w:contextualSpacing/>
              <w:jc w:val="center"/>
              <w:rPr>
                <w:rFonts w:eastAsia="Calibri"/>
                <w:szCs w:val="24"/>
              </w:rPr>
            </w:pPr>
            <w:r w:rsidRPr="00333A5F">
              <w:rPr>
                <w:rFonts w:eastAsia="Calibri"/>
                <w:szCs w:val="24"/>
              </w:rPr>
              <w:lastRenderedPageBreak/>
              <w:t>2.</w:t>
            </w:r>
          </w:p>
        </w:tc>
        <w:tc>
          <w:tcPr>
            <w:tcW w:w="4962" w:type="dxa"/>
            <w:shd w:val="clear" w:color="auto" w:fill="auto"/>
          </w:tcPr>
          <w:p w14:paraId="56D89370" w14:textId="77777777" w:rsidR="0002741B" w:rsidRPr="00333A5F" w:rsidRDefault="0002741B" w:rsidP="004057B5">
            <w:pPr>
              <w:keepLines/>
              <w:autoSpaceDE w:val="0"/>
              <w:autoSpaceDN w:val="0"/>
              <w:adjustRightInd w:val="0"/>
              <w:contextualSpacing/>
              <w:rPr>
                <w:color w:val="000000"/>
                <w:szCs w:val="24"/>
              </w:rPr>
            </w:pPr>
            <w:r w:rsidRPr="00333A5F">
              <w:rPr>
                <w:color w:val="000000"/>
                <w:szCs w:val="24"/>
              </w:rPr>
              <w:t xml:space="preserve">Saskaņā ar MK Noteikumu 76.punktu par katru maksājuma kavējuma dienu tirgotājs ir tiesīgs pieprasīt lietotājam nokavējuma maksu līdz 0,15 % (nulle komats piecpadsmit procentiem) no laikus nesamaksātās summas. Papildus </w:t>
            </w:r>
            <w:r w:rsidRPr="00E93748">
              <w:rPr>
                <w:rFonts w:eastAsia="Times New Roman"/>
                <w:szCs w:val="24"/>
              </w:rPr>
              <w:t>„</w:t>
            </w:r>
            <w:r w:rsidRPr="00333A5F">
              <w:rPr>
                <w:color w:val="000000"/>
                <w:szCs w:val="24"/>
              </w:rPr>
              <w:t>XXX</w:t>
            </w:r>
            <w:r>
              <w:rPr>
                <w:color w:val="000000"/>
                <w:szCs w:val="24"/>
              </w:rPr>
              <w:t>”</w:t>
            </w:r>
            <w:r w:rsidRPr="00333A5F">
              <w:rPr>
                <w:color w:val="000000"/>
                <w:szCs w:val="24"/>
              </w:rPr>
              <w:t xml:space="preserve"> vērš uzmanību, ka nokavējuma procenti netiek aprobežoti ar 10% (desmit procentiem) no parāda summas. Minētais aprobežojums attiecas uz pieaugošu līgumsodu nevis nokavējuma procentiem. Ņemot vērā minēto, </w:t>
            </w:r>
            <w:r w:rsidRPr="00E93748">
              <w:rPr>
                <w:rFonts w:eastAsia="Times New Roman"/>
                <w:szCs w:val="24"/>
              </w:rPr>
              <w:t>„</w:t>
            </w:r>
            <w:r w:rsidRPr="00333A5F">
              <w:rPr>
                <w:color w:val="000000"/>
                <w:szCs w:val="24"/>
              </w:rPr>
              <w:t>XXX</w:t>
            </w:r>
            <w:r>
              <w:rPr>
                <w:color w:val="000000"/>
                <w:szCs w:val="24"/>
              </w:rPr>
              <w:t>”</w:t>
            </w:r>
            <w:r w:rsidRPr="00333A5F">
              <w:rPr>
                <w:color w:val="000000"/>
                <w:szCs w:val="24"/>
              </w:rPr>
              <w:t xml:space="preserve"> lūdz līguma projekta 6.1.punktu izteikt šādā redakcijā: </w:t>
            </w:r>
            <w:r w:rsidRPr="004C39CF">
              <w:rPr>
                <w:rFonts w:eastAsia="Times New Roman"/>
                <w:i/>
                <w:iCs/>
                <w:szCs w:val="24"/>
              </w:rPr>
              <w:t>„</w:t>
            </w:r>
            <w:r w:rsidRPr="004C39CF">
              <w:rPr>
                <w:i/>
                <w:iCs/>
                <w:color w:val="000000"/>
                <w:szCs w:val="24"/>
              </w:rPr>
              <w:t>Rēķina apmaksas kavējuma gadījumā Lietotājam ir pienākums samaksāt Tirgotājam nokavējuma procentus 0,15% (nulle komats piecpadsmit procenti) apmērā no nesamaksātās rēķina summas par katru kavējuma dienu.”</w:t>
            </w:r>
          </w:p>
        </w:tc>
        <w:tc>
          <w:tcPr>
            <w:tcW w:w="4459" w:type="dxa"/>
            <w:shd w:val="clear" w:color="auto" w:fill="auto"/>
          </w:tcPr>
          <w:p w14:paraId="4D9D14B1" w14:textId="77777777" w:rsidR="0002741B" w:rsidRPr="00BF3A6C" w:rsidRDefault="0002741B" w:rsidP="004057B5">
            <w:pPr>
              <w:contextualSpacing/>
              <w:rPr>
                <w:szCs w:val="24"/>
              </w:rPr>
            </w:pPr>
            <w:r w:rsidRPr="00BF3A6C">
              <w:rPr>
                <w:szCs w:val="24"/>
                <w:lang w:eastAsia="lv-LV"/>
              </w:rPr>
              <w:t>Lūdzam skatīt iepirkuma Grozījumus Nr.1.</w:t>
            </w:r>
          </w:p>
          <w:p w14:paraId="1E2F9E73" w14:textId="77777777" w:rsidR="0002741B" w:rsidRPr="00333A5F" w:rsidRDefault="0002741B" w:rsidP="004057B5">
            <w:pPr>
              <w:rPr>
                <w:szCs w:val="24"/>
                <w:highlight w:val="yellow"/>
              </w:rPr>
            </w:pPr>
          </w:p>
        </w:tc>
      </w:tr>
      <w:tr w:rsidR="0002741B" w:rsidRPr="00333A5F" w14:paraId="462D3ED3" w14:textId="77777777" w:rsidTr="0002741B">
        <w:trPr>
          <w:trHeight w:val="845"/>
        </w:trPr>
        <w:tc>
          <w:tcPr>
            <w:tcW w:w="709" w:type="dxa"/>
            <w:shd w:val="clear" w:color="auto" w:fill="auto"/>
          </w:tcPr>
          <w:p w14:paraId="235F9173" w14:textId="77777777" w:rsidR="0002741B" w:rsidRPr="00333A5F" w:rsidRDefault="0002741B" w:rsidP="004057B5">
            <w:pPr>
              <w:contextualSpacing/>
              <w:jc w:val="center"/>
              <w:rPr>
                <w:rFonts w:eastAsia="Calibri"/>
                <w:szCs w:val="24"/>
              </w:rPr>
            </w:pPr>
            <w:r w:rsidRPr="00333A5F">
              <w:rPr>
                <w:rFonts w:eastAsia="Calibri"/>
                <w:szCs w:val="24"/>
              </w:rPr>
              <w:t>3.</w:t>
            </w:r>
          </w:p>
        </w:tc>
        <w:tc>
          <w:tcPr>
            <w:tcW w:w="4962" w:type="dxa"/>
            <w:shd w:val="clear" w:color="auto" w:fill="auto"/>
          </w:tcPr>
          <w:p w14:paraId="245BC0E5" w14:textId="77777777" w:rsidR="0002741B" w:rsidRPr="00333A5F" w:rsidRDefault="0002741B" w:rsidP="004057B5">
            <w:pPr>
              <w:keepLines/>
              <w:autoSpaceDE w:val="0"/>
              <w:autoSpaceDN w:val="0"/>
              <w:adjustRightInd w:val="0"/>
              <w:contextualSpacing/>
              <w:rPr>
                <w:color w:val="000000"/>
                <w:szCs w:val="24"/>
              </w:rPr>
            </w:pPr>
            <w:r w:rsidRPr="00333A5F">
              <w:rPr>
                <w:color w:val="000000"/>
                <w:szCs w:val="24"/>
              </w:rPr>
              <w:t xml:space="preserve">Līguma projekta 6.2.punktā noteikts, ka dabasgāzes piegādes kavējuma gadījumā Tirgotāja vainas dēļ, Lietotājam ir tiesības pieprasīt no Tirgotāja samaksāt nokavējuma procentus. Saskaņā ar MK Noteikumu 35.punktu dabasgāzes piegādi lietotājam līdz lietotāja dabasgāzes apgādes sistēmas piederības robežai veic sadales sistēmas operators, pamatojoties uz sadales sistēmas pakalpojuma līgumu, kurš noslēgts ar dabasgāzes tirgotāju. Ievērojot norādīto, </w:t>
            </w:r>
            <w:r w:rsidRPr="00E93748">
              <w:rPr>
                <w:rFonts w:eastAsia="Times New Roman"/>
                <w:szCs w:val="24"/>
              </w:rPr>
              <w:t>„</w:t>
            </w:r>
            <w:r>
              <w:rPr>
                <w:rFonts w:eastAsia="Times New Roman"/>
                <w:szCs w:val="24"/>
              </w:rPr>
              <w:t>X</w:t>
            </w:r>
            <w:r w:rsidRPr="00333A5F">
              <w:rPr>
                <w:color w:val="000000"/>
                <w:szCs w:val="24"/>
              </w:rPr>
              <w:t>XX</w:t>
            </w:r>
            <w:r>
              <w:rPr>
                <w:color w:val="000000"/>
                <w:szCs w:val="24"/>
              </w:rPr>
              <w:t>”</w:t>
            </w:r>
            <w:r w:rsidRPr="00333A5F">
              <w:rPr>
                <w:color w:val="000000"/>
                <w:szCs w:val="24"/>
              </w:rPr>
              <w:t xml:space="preserve"> lūdz svītrot līguma projekta 6.2.punktu. </w:t>
            </w:r>
          </w:p>
        </w:tc>
        <w:tc>
          <w:tcPr>
            <w:tcW w:w="4459" w:type="dxa"/>
            <w:shd w:val="clear" w:color="auto" w:fill="auto"/>
          </w:tcPr>
          <w:p w14:paraId="6F03DC0B" w14:textId="77777777" w:rsidR="0002741B" w:rsidRPr="00B5492F" w:rsidRDefault="0002741B" w:rsidP="004057B5">
            <w:pPr>
              <w:rPr>
                <w:szCs w:val="24"/>
              </w:rPr>
            </w:pPr>
            <w:r w:rsidRPr="00B5492F">
              <w:rPr>
                <w:szCs w:val="24"/>
              </w:rPr>
              <w:t xml:space="preserve">Priekšlikums svītrot no līguma projekta 6.2.punktu nav ņemts vērā, jo nodalāmas </w:t>
            </w:r>
          </w:p>
          <w:p w14:paraId="021D7D73" w14:textId="77777777" w:rsidR="0002741B" w:rsidRPr="00B5492F" w:rsidRDefault="0002741B" w:rsidP="0002741B">
            <w:pPr>
              <w:pStyle w:val="Sarakstarindkopa"/>
              <w:numPr>
                <w:ilvl w:val="0"/>
                <w:numId w:val="1"/>
              </w:numPr>
              <w:tabs>
                <w:tab w:val="left" w:pos="312"/>
              </w:tabs>
              <w:ind w:left="0" w:firstLine="0"/>
              <w:jc w:val="both"/>
              <w:rPr>
                <w:sz w:val="24"/>
                <w:szCs w:val="24"/>
              </w:rPr>
            </w:pPr>
            <w:r w:rsidRPr="00B5492F">
              <w:rPr>
                <w:sz w:val="24"/>
                <w:szCs w:val="24"/>
              </w:rPr>
              <w:t>saistības starp iepirkuma līguma pusēm (lietotāju un tirgotāju) no</w:t>
            </w:r>
          </w:p>
          <w:p w14:paraId="4062442C" w14:textId="77777777" w:rsidR="0002741B" w:rsidRPr="00B5492F" w:rsidRDefault="0002741B" w:rsidP="0002741B">
            <w:pPr>
              <w:pStyle w:val="Sarakstarindkopa"/>
              <w:numPr>
                <w:ilvl w:val="0"/>
                <w:numId w:val="1"/>
              </w:numPr>
              <w:tabs>
                <w:tab w:val="left" w:pos="312"/>
              </w:tabs>
              <w:ind w:left="0" w:firstLine="0"/>
              <w:jc w:val="both"/>
              <w:rPr>
                <w:sz w:val="24"/>
                <w:szCs w:val="24"/>
              </w:rPr>
            </w:pPr>
            <w:r w:rsidRPr="00B5492F">
              <w:rPr>
                <w:sz w:val="24"/>
                <w:szCs w:val="24"/>
              </w:rPr>
              <w:t xml:space="preserve">saistībām starp tirgotāju un </w:t>
            </w:r>
            <w:r w:rsidRPr="00B5492F">
              <w:rPr>
                <w:color w:val="000000"/>
                <w:sz w:val="24"/>
                <w:szCs w:val="24"/>
              </w:rPr>
              <w:t>sadales sistēmas operatoru sadales sistēmas pakalpojuma līguma ietvaros.</w:t>
            </w:r>
          </w:p>
          <w:p w14:paraId="14DE29F3" w14:textId="77777777" w:rsidR="0002741B" w:rsidRPr="00E45294" w:rsidRDefault="0002741B" w:rsidP="004057B5">
            <w:pPr>
              <w:rPr>
                <w:szCs w:val="24"/>
              </w:rPr>
            </w:pPr>
            <w:r>
              <w:rPr>
                <w:szCs w:val="24"/>
                <w:lang w:eastAsia="lv-LV"/>
              </w:rPr>
              <w:t>Vienlaikus l</w:t>
            </w:r>
            <w:r w:rsidRPr="00BF3A6C">
              <w:rPr>
                <w:szCs w:val="24"/>
                <w:lang w:eastAsia="lv-LV"/>
              </w:rPr>
              <w:t>ūdzam skatīt iepirkuma Grozījumus Nr.1.</w:t>
            </w:r>
          </w:p>
          <w:p w14:paraId="29FC1137" w14:textId="77777777" w:rsidR="0002741B" w:rsidRPr="006B444D" w:rsidRDefault="0002741B" w:rsidP="004057B5">
            <w:pPr>
              <w:rPr>
                <w:b/>
                <w:bCs/>
                <w:szCs w:val="24"/>
              </w:rPr>
            </w:pPr>
          </w:p>
        </w:tc>
      </w:tr>
      <w:tr w:rsidR="0002741B" w:rsidRPr="00333A5F" w14:paraId="70C75465" w14:textId="77777777" w:rsidTr="0002741B">
        <w:trPr>
          <w:trHeight w:val="845"/>
        </w:trPr>
        <w:tc>
          <w:tcPr>
            <w:tcW w:w="709" w:type="dxa"/>
            <w:shd w:val="clear" w:color="auto" w:fill="auto"/>
          </w:tcPr>
          <w:p w14:paraId="50D0084E" w14:textId="77777777" w:rsidR="0002741B" w:rsidRPr="00333A5F" w:rsidRDefault="0002741B" w:rsidP="004057B5">
            <w:pPr>
              <w:contextualSpacing/>
              <w:jc w:val="center"/>
              <w:rPr>
                <w:rFonts w:eastAsia="Calibri"/>
                <w:szCs w:val="24"/>
              </w:rPr>
            </w:pPr>
            <w:r w:rsidRPr="00333A5F">
              <w:rPr>
                <w:rFonts w:eastAsia="Calibri"/>
                <w:szCs w:val="24"/>
              </w:rPr>
              <w:t>4.</w:t>
            </w:r>
          </w:p>
        </w:tc>
        <w:tc>
          <w:tcPr>
            <w:tcW w:w="4962" w:type="dxa"/>
            <w:shd w:val="clear" w:color="auto" w:fill="auto"/>
          </w:tcPr>
          <w:p w14:paraId="57DB8881" w14:textId="77777777" w:rsidR="0002741B" w:rsidRPr="00333A5F" w:rsidRDefault="0002741B" w:rsidP="004057B5">
            <w:pPr>
              <w:keepLines/>
              <w:autoSpaceDE w:val="0"/>
              <w:autoSpaceDN w:val="0"/>
              <w:adjustRightInd w:val="0"/>
              <w:contextualSpacing/>
              <w:rPr>
                <w:color w:val="000000"/>
                <w:szCs w:val="24"/>
              </w:rPr>
            </w:pPr>
            <w:r w:rsidRPr="00333A5F">
              <w:rPr>
                <w:color w:val="000000"/>
                <w:szCs w:val="24"/>
              </w:rPr>
              <w:t xml:space="preserve">Papildus, </w:t>
            </w:r>
            <w:r w:rsidRPr="00E93748">
              <w:rPr>
                <w:rFonts w:eastAsia="Times New Roman"/>
                <w:szCs w:val="24"/>
              </w:rPr>
              <w:t>„</w:t>
            </w:r>
            <w:r w:rsidRPr="00333A5F">
              <w:rPr>
                <w:color w:val="000000"/>
                <w:szCs w:val="24"/>
              </w:rPr>
              <w:t>XXX</w:t>
            </w:r>
            <w:r>
              <w:rPr>
                <w:color w:val="000000"/>
                <w:szCs w:val="24"/>
              </w:rPr>
              <w:t>”</w:t>
            </w:r>
            <w:r w:rsidRPr="00333A5F">
              <w:rPr>
                <w:color w:val="000000"/>
                <w:szCs w:val="24"/>
              </w:rPr>
              <w:t xml:space="preserve"> aicina papildināt līguma projekta 8.sadaļu ar jaunu apakšpunktu šādā redakcijā: </w:t>
            </w:r>
            <w:r w:rsidRPr="006C169C">
              <w:rPr>
                <w:rFonts w:eastAsia="Times New Roman"/>
                <w:i/>
                <w:iCs/>
                <w:szCs w:val="24"/>
              </w:rPr>
              <w:t>„</w:t>
            </w:r>
            <w:r w:rsidRPr="006C169C">
              <w:rPr>
                <w:i/>
                <w:iCs/>
                <w:color w:val="000000"/>
                <w:szCs w:val="24"/>
              </w:rPr>
              <w:t>Tirgotājam ir tiesības jebkurā laikā izbeigt Līgumu pirms Līguma 1.2. punktā norādītā termiņa, izņemot Līguma 8.4. punktā noteiktos gadījumos, par to vismaz 6 (sešas) nedēļas pirms Līguma izbeigšanas termiņa rakstiski brīdinot Lietotāju.</w:t>
            </w:r>
            <w:r>
              <w:rPr>
                <w:i/>
                <w:iCs/>
                <w:color w:val="000000"/>
                <w:szCs w:val="24"/>
              </w:rPr>
              <w:t>”</w:t>
            </w:r>
          </w:p>
        </w:tc>
        <w:tc>
          <w:tcPr>
            <w:tcW w:w="4459" w:type="dxa"/>
            <w:shd w:val="clear" w:color="auto" w:fill="auto"/>
          </w:tcPr>
          <w:p w14:paraId="1C10937C" w14:textId="77777777" w:rsidR="0002741B" w:rsidRPr="00130663" w:rsidRDefault="0002741B" w:rsidP="004057B5">
            <w:pPr>
              <w:contextualSpacing/>
              <w:rPr>
                <w:szCs w:val="24"/>
              </w:rPr>
            </w:pPr>
            <w:r>
              <w:rPr>
                <w:szCs w:val="24"/>
              </w:rPr>
              <w:t>A</w:t>
            </w:r>
            <w:r w:rsidRPr="00130663">
              <w:rPr>
                <w:szCs w:val="24"/>
              </w:rPr>
              <w:t xml:space="preserve">icinājums papildināt iepirkuma līguma projekta 8.sadaļu ar jaunu punktu nav </w:t>
            </w:r>
            <w:r>
              <w:rPr>
                <w:szCs w:val="24"/>
              </w:rPr>
              <w:t>ņemts vērā</w:t>
            </w:r>
            <w:r w:rsidRPr="00130663">
              <w:rPr>
                <w:szCs w:val="24"/>
              </w:rPr>
              <w:t>, jo līguma projekta 8.8.punkts nosaka:</w:t>
            </w:r>
          </w:p>
          <w:p w14:paraId="42F6AEA0" w14:textId="77777777" w:rsidR="0002741B" w:rsidRPr="00130663" w:rsidRDefault="0002741B" w:rsidP="004057B5">
            <w:pPr>
              <w:contextualSpacing/>
              <w:rPr>
                <w:i/>
                <w:iCs/>
                <w:szCs w:val="24"/>
              </w:rPr>
            </w:pPr>
            <w:r w:rsidRPr="00130663">
              <w:rPr>
                <w:rFonts w:eastAsia="Times New Roman"/>
                <w:i/>
                <w:iCs/>
                <w:szCs w:val="24"/>
              </w:rPr>
              <w:t>„</w:t>
            </w:r>
            <w:r w:rsidRPr="00130663">
              <w:rPr>
                <w:i/>
                <w:iCs/>
              </w:rPr>
              <w:t>Tirgotājam ir tiesības jebkurā laikā izbeigt Līgumu pirms Līguma 1.2.punktā norādītā termiņa, izņemot Līguma 8.5.punktā noteiktos gadījumos, par to vismaz 6 (sešas) nedēļas pirms Līguma izbeigšanas termiņa rakstiski brīdinot Lietotāju.”</w:t>
            </w:r>
          </w:p>
          <w:p w14:paraId="0C95FAE8" w14:textId="77777777" w:rsidR="0002741B" w:rsidRPr="00333A5F" w:rsidRDefault="0002741B" w:rsidP="004057B5">
            <w:pPr>
              <w:contextualSpacing/>
              <w:rPr>
                <w:szCs w:val="24"/>
                <w:highlight w:val="yellow"/>
              </w:rPr>
            </w:pPr>
            <w:r w:rsidRPr="00130663">
              <w:rPr>
                <w:szCs w:val="24"/>
              </w:rPr>
              <w:t>Ievērojot iepriekš minēto, skaidrojam, ka iepirkuma līguma projekts netiek grozīts.</w:t>
            </w:r>
          </w:p>
        </w:tc>
      </w:tr>
    </w:tbl>
    <w:p w14:paraId="29FD96C9" w14:textId="77777777" w:rsidR="0002741B" w:rsidRPr="00E57F1F" w:rsidRDefault="0002741B" w:rsidP="0002741B">
      <w:pPr>
        <w:rPr>
          <w:szCs w:val="24"/>
          <w:highlight w:val="yellow"/>
        </w:rPr>
      </w:pPr>
    </w:p>
    <w:p w14:paraId="008E6CAC" w14:textId="77777777" w:rsidR="0002741B" w:rsidRDefault="0002741B" w:rsidP="0002741B">
      <w:pPr>
        <w:rPr>
          <w:b/>
          <w:i/>
          <w:highlight w:val="yellow"/>
        </w:rPr>
      </w:pPr>
    </w:p>
    <w:p w14:paraId="0F2DBF3A" w14:textId="77777777" w:rsidR="0002741B" w:rsidRPr="00C20434" w:rsidRDefault="0002741B">
      <w:pPr>
        <w:rPr>
          <w:rFonts w:ascii="Arial" w:hAnsi="Arial" w:cs="Arial"/>
        </w:rPr>
      </w:pPr>
    </w:p>
    <w:sectPr w:rsidR="0002741B"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C3"/>
    <w:multiLevelType w:val="hybridMultilevel"/>
    <w:tmpl w:val="93BC2E2E"/>
    <w:lvl w:ilvl="0" w:tplc="1FEE3FD4">
      <w:start w:val="1"/>
      <w:numFmt w:val="decimal"/>
      <w:lvlText w:val="%1)"/>
      <w:lvlJc w:val="left"/>
      <w:pPr>
        <w:ind w:left="760" w:hanging="40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111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1B"/>
    <w:rsid w:val="0002741B"/>
    <w:rsid w:val="003204EA"/>
    <w:rsid w:val="0098236C"/>
    <w:rsid w:val="00C20434"/>
    <w:rsid w:val="00E46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6B2E"/>
  <w15:chartTrackingRefBased/>
  <w15:docId w15:val="{B3181CDD-EB0B-4DBB-BE37-15C9993F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41B"/>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Citation List"/>
    <w:basedOn w:val="Parasts"/>
    <w:link w:val="SarakstarindkopaRakstz"/>
    <w:uiPriority w:val="34"/>
    <w:qFormat/>
    <w:rsid w:val="0002741B"/>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02741B"/>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2023-09-20T07:54:00Z</dcterms:created>
  <dcterms:modified xsi:type="dcterms:W3CDTF">2023-09-20T07:54:00Z</dcterms:modified>
</cp:coreProperties>
</file>