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A50A" w14:textId="77777777" w:rsidR="00644A58" w:rsidRPr="00AB3184" w:rsidRDefault="00644A58" w:rsidP="00644A58">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42EF333F" w14:textId="73027F82" w:rsidR="00644A58" w:rsidRPr="008951BD" w:rsidRDefault="00644A58" w:rsidP="00644A58">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23.novembra</w:t>
      </w:r>
      <w:r w:rsidRPr="008951BD">
        <w:rPr>
          <w:rFonts w:eastAsia="Arial Unicode MS"/>
          <w:i/>
          <w:szCs w:val="24"/>
          <w:lang w:eastAsia="lv-LV"/>
        </w:rPr>
        <w:t xml:space="preserve"> </w:t>
      </w:r>
    </w:p>
    <w:p w14:paraId="6D8DBDB8" w14:textId="77777777" w:rsidR="00644A58" w:rsidRDefault="00644A58" w:rsidP="00644A58">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7A0DF9AE" w14:textId="7C445590" w:rsidR="0098236C" w:rsidRDefault="0098236C">
      <w:pPr>
        <w:rPr>
          <w:rFonts w:ascii="Arial" w:hAnsi="Arial" w:cs="Arial"/>
        </w:rPr>
      </w:pPr>
    </w:p>
    <w:p w14:paraId="64935DFC" w14:textId="04898350" w:rsidR="00644A58" w:rsidRDefault="00644A58">
      <w:pPr>
        <w:rPr>
          <w:rFonts w:ascii="Arial" w:hAnsi="Arial" w:cs="Arial"/>
        </w:rPr>
      </w:pPr>
    </w:p>
    <w:p w14:paraId="2A7F43B8" w14:textId="6F55B166" w:rsidR="00644A58" w:rsidRDefault="00644A58">
      <w:pPr>
        <w:rPr>
          <w:rFonts w:ascii="Arial" w:hAnsi="Arial" w:cs="Arial"/>
        </w:rPr>
      </w:pPr>
    </w:p>
    <w:p w14:paraId="6117771A" w14:textId="77777777" w:rsidR="00644A58" w:rsidRPr="00681731" w:rsidRDefault="00644A58" w:rsidP="00644A58">
      <w:pPr>
        <w:jc w:val="center"/>
        <w:rPr>
          <w:b/>
        </w:rPr>
      </w:pPr>
      <w:r w:rsidRPr="00681731">
        <w:rPr>
          <w:b/>
        </w:rPr>
        <w:t>VAS </w:t>
      </w:r>
      <w:r w:rsidRPr="00681731">
        <w:rPr>
          <w:b/>
          <w:color w:val="222222"/>
        </w:rPr>
        <w:t>„</w:t>
      </w:r>
      <w:r w:rsidRPr="00681731">
        <w:rPr>
          <w:b/>
        </w:rPr>
        <w:t xml:space="preserve">Latvijas dzelzceļš” </w:t>
      </w:r>
    </w:p>
    <w:p w14:paraId="5C411448" w14:textId="77777777" w:rsidR="00644A58" w:rsidRPr="00681731" w:rsidRDefault="00644A58" w:rsidP="00644A58">
      <w:pPr>
        <w:ind w:left="142" w:right="-1"/>
        <w:jc w:val="center"/>
        <w:rPr>
          <w:b/>
        </w:rPr>
      </w:pPr>
      <w:r w:rsidRPr="00681731">
        <w:rPr>
          <w:b/>
        </w:rPr>
        <w:t>sarunu procedūras ar publikāciju</w:t>
      </w:r>
    </w:p>
    <w:p w14:paraId="47B40751" w14:textId="77777777" w:rsidR="00644A58" w:rsidRPr="000323C7" w:rsidRDefault="00644A58" w:rsidP="00644A58">
      <w:pPr>
        <w:ind w:left="284" w:right="282"/>
        <w:jc w:val="center"/>
        <w:rPr>
          <w:b/>
          <w:bCs/>
          <w:color w:val="222222"/>
          <w:szCs w:val="24"/>
        </w:rPr>
      </w:pPr>
      <w:r w:rsidRPr="000323C7">
        <w:rPr>
          <w:b/>
          <w:bCs/>
          <w:color w:val="222222"/>
          <w:szCs w:val="24"/>
        </w:rPr>
        <w:t>„</w:t>
      </w:r>
      <w:r w:rsidRPr="000323C7">
        <w:rPr>
          <w:b/>
          <w:bCs/>
          <w:szCs w:val="24"/>
        </w:rPr>
        <w:t xml:space="preserve">Vilces ritošā sastāva kompresoru un pneimatisko iekārtu rezerves daļu piegāde </w:t>
      </w:r>
      <w:r w:rsidRPr="000323C7">
        <w:rPr>
          <w:b/>
          <w:bCs/>
          <w:color w:val="222222"/>
          <w:szCs w:val="24"/>
        </w:rPr>
        <w:t>SIA „LDZ ritošā sastāva serviss” vajadzībām”</w:t>
      </w:r>
    </w:p>
    <w:p w14:paraId="60897D40" w14:textId="77777777" w:rsidR="00644A58" w:rsidRPr="00F20F21" w:rsidRDefault="00644A58" w:rsidP="00644A58">
      <w:pPr>
        <w:ind w:left="284" w:right="282"/>
        <w:jc w:val="center"/>
        <w:rPr>
          <w:rFonts w:eastAsia="Calibri"/>
          <w:b/>
          <w:bCs/>
        </w:rPr>
      </w:pPr>
    </w:p>
    <w:p w14:paraId="1596DD64" w14:textId="77777777" w:rsidR="00644A58" w:rsidRPr="00E308A2" w:rsidRDefault="00644A58" w:rsidP="00644A58">
      <w:pPr>
        <w:ind w:left="284" w:right="282"/>
        <w:jc w:val="center"/>
        <w:rPr>
          <w:rFonts w:eastAsia="Calibri"/>
          <w:b/>
        </w:rPr>
      </w:pPr>
      <w:r w:rsidRPr="00681731">
        <w:rPr>
          <w:rFonts w:eastAsia="Calibri"/>
          <w:b/>
        </w:rPr>
        <w:t>Skaidrojums Nr.</w:t>
      </w:r>
      <w:r>
        <w:rPr>
          <w:rFonts w:eastAsia="Calibri"/>
          <w:b/>
        </w:rPr>
        <w:t>1</w:t>
      </w:r>
    </w:p>
    <w:p w14:paraId="57B7F056" w14:textId="77777777" w:rsidR="00644A58" w:rsidRPr="00291EAB" w:rsidRDefault="00644A58" w:rsidP="00644A58">
      <w:pPr>
        <w:ind w:left="284" w:right="282"/>
        <w:jc w:val="center"/>
        <w:rPr>
          <w:rFonts w:eastAsia="Calibri"/>
          <w:b/>
          <w:highlight w:val="yellow"/>
        </w:rPr>
      </w:pPr>
    </w:p>
    <w:tbl>
      <w:tblPr>
        <w:tblW w:w="93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91"/>
        <w:gridCol w:w="4504"/>
      </w:tblGrid>
      <w:tr w:rsidR="00644A58" w:rsidRPr="001B0D7A" w14:paraId="22452249" w14:textId="77777777" w:rsidTr="00644A58">
        <w:trPr>
          <w:trHeight w:val="625"/>
        </w:trPr>
        <w:tc>
          <w:tcPr>
            <w:tcW w:w="710" w:type="dxa"/>
            <w:shd w:val="clear" w:color="auto" w:fill="FFF2CC"/>
            <w:vAlign w:val="center"/>
          </w:tcPr>
          <w:p w14:paraId="468BF71F" w14:textId="77777777" w:rsidR="00644A58" w:rsidRPr="001B0D7A" w:rsidRDefault="00644A58" w:rsidP="00981BE3">
            <w:pPr>
              <w:contextualSpacing/>
              <w:jc w:val="center"/>
              <w:rPr>
                <w:rFonts w:eastAsia="Calibri"/>
                <w:b/>
              </w:rPr>
            </w:pPr>
            <w:r w:rsidRPr="001B0D7A">
              <w:rPr>
                <w:rFonts w:eastAsia="Calibri"/>
                <w:b/>
              </w:rPr>
              <w:t>Nr.</w:t>
            </w:r>
          </w:p>
          <w:p w14:paraId="02943EFA" w14:textId="77777777" w:rsidR="00644A58" w:rsidRPr="001B0D7A" w:rsidRDefault="00644A58" w:rsidP="00981BE3">
            <w:pPr>
              <w:contextualSpacing/>
              <w:jc w:val="center"/>
              <w:rPr>
                <w:rFonts w:eastAsia="Calibri"/>
                <w:b/>
              </w:rPr>
            </w:pPr>
            <w:r w:rsidRPr="001B0D7A">
              <w:rPr>
                <w:rFonts w:eastAsia="Calibri"/>
                <w:b/>
              </w:rPr>
              <w:t>p.k.</w:t>
            </w:r>
          </w:p>
        </w:tc>
        <w:tc>
          <w:tcPr>
            <w:tcW w:w="4091" w:type="dxa"/>
            <w:shd w:val="clear" w:color="auto" w:fill="FFF2CC"/>
            <w:vAlign w:val="center"/>
          </w:tcPr>
          <w:p w14:paraId="0C40A0B7" w14:textId="77777777" w:rsidR="00644A58" w:rsidRPr="000323C7" w:rsidRDefault="00644A58" w:rsidP="00981BE3">
            <w:pPr>
              <w:contextualSpacing/>
              <w:jc w:val="center"/>
              <w:rPr>
                <w:rFonts w:eastAsia="Calibri"/>
                <w:b/>
                <w:i/>
                <w:highlight w:val="yellow"/>
              </w:rPr>
            </w:pPr>
            <w:r w:rsidRPr="0067028B">
              <w:rPr>
                <w:rFonts w:eastAsia="Calibri"/>
                <w:b/>
                <w:i/>
              </w:rPr>
              <w:t>Jautājums</w:t>
            </w:r>
          </w:p>
        </w:tc>
        <w:tc>
          <w:tcPr>
            <w:tcW w:w="4504" w:type="dxa"/>
            <w:shd w:val="clear" w:color="auto" w:fill="FFF2CC"/>
            <w:vAlign w:val="center"/>
          </w:tcPr>
          <w:p w14:paraId="2662402F" w14:textId="77777777" w:rsidR="00644A58" w:rsidRPr="000323C7" w:rsidRDefault="00644A58" w:rsidP="00981BE3">
            <w:pPr>
              <w:contextualSpacing/>
              <w:jc w:val="center"/>
              <w:rPr>
                <w:rFonts w:eastAsia="Calibri"/>
                <w:b/>
                <w:i/>
                <w:highlight w:val="yellow"/>
              </w:rPr>
            </w:pPr>
            <w:r w:rsidRPr="00D418FA">
              <w:rPr>
                <w:rFonts w:eastAsia="Calibri"/>
                <w:b/>
                <w:i/>
              </w:rPr>
              <w:t>Atbilde</w:t>
            </w:r>
          </w:p>
        </w:tc>
      </w:tr>
      <w:tr w:rsidR="00644A58" w:rsidRPr="001B0D7A" w14:paraId="052CD463" w14:textId="77777777" w:rsidTr="00644A58">
        <w:trPr>
          <w:trHeight w:val="2698"/>
        </w:trPr>
        <w:tc>
          <w:tcPr>
            <w:tcW w:w="710" w:type="dxa"/>
            <w:shd w:val="clear" w:color="auto" w:fill="auto"/>
          </w:tcPr>
          <w:p w14:paraId="5140FF3B" w14:textId="77777777" w:rsidR="00644A58" w:rsidRPr="001B0D7A" w:rsidRDefault="00644A58" w:rsidP="00981BE3">
            <w:pPr>
              <w:contextualSpacing/>
              <w:jc w:val="center"/>
              <w:rPr>
                <w:rFonts w:eastAsia="Calibri"/>
              </w:rPr>
            </w:pPr>
            <w:r w:rsidRPr="001B0D7A">
              <w:rPr>
                <w:rFonts w:eastAsia="Calibri"/>
              </w:rPr>
              <w:t>1.</w:t>
            </w:r>
          </w:p>
        </w:tc>
        <w:tc>
          <w:tcPr>
            <w:tcW w:w="4091" w:type="dxa"/>
            <w:shd w:val="clear" w:color="auto" w:fill="auto"/>
          </w:tcPr>
          <w:p w14:paraId="458C5F2D" w14:textId="77777777" w:rsidR="00644A58" w:rsidRPr="0067028B" w:rsidRDefault="00644A58" w:rsidP="00981BE3">
            <w:pPr>
              <w:rPr>
                <w:szCs w:val="24"/>
                <w:lang w:val="ru-RU"/>
              </w:rPr>
            </w:pPr>
            <w:r w:rsidRPr="0067028B">
              <w:rPr>
                <w:szCs w:val="24"/>
                <w:lang w:val="ru-RU"/>
              </w:rPr>
              <w:t xml:space="preserve">Прошу вас сообщить по конкурсным условиям на поставку запасных частей на 29.11.2022, предусмотрена подача предложения в бумажном виде. Я </w:t>
            </w:r>
            <w:proofErr w:type="gramStart"/>
            <w:r w:rsidRPr="0067028B">
              <w:rPr>
                <w:szCs w:val="24"/>
                <w:lang w:val="ru-RU"/>
              </w:rPr>
              <w:t>опасаюсь</w:t>
            </w:r>
            <w:proofErr w:type="gramEnd"/>
            <w:r w:rsidRPr="0067028B">
              <w:rPr>
                <w:szCs w:val="24"/>
                <w:lang w:val="ru-RU"/>
              </w:rPr>
              <w:t xml:space="preserve"> что мы не успеем вовремя доставить. Поэтому прошу вас о возможности предоставленя предложения по электронной почте.</w:t>
            </w:r>
          </w:p>
          <w:p w14:paraId="352C1053" w14:textId="77777777" w:rsidR="00644A58" w:rsidRDefault="00644A58" w:rsidP="00981BE3">
            <w:pPr>
              <w:rPr>
                <w:sz w:val="22"/>
                <w:highlight w:val="yellow"/>
              </w:rPr>
            </w:pPr>
          </w:p>
          <w:p w14:paraId="767B04DC" w14:textId="77777777" w:rsidR="00644A58" w:rsidRPr="000323C7" w:rsidRDefault="00644A58" w:rsidP="00981BE3">
            <w:pPr>
              <w:rPr>
                <w:sz w:val="22"/>
                <w:highlight w:val="yellow"/>
              </w:rPr>
            </w:pPr>
            <w:r w:rsidRPr="00A04DAB">
              <w:rPr>
                <w:rFonts w:eastAsia="Times New Roman"/>
                <w:i/>
                <w:iCs/>
                <w:color w:val="202124"/>
                <w:szCs w:val="24"/>
                <w:lang w:eastAsia="lv-LV"/>
              </w:rPr>
              <w:t>Lūdzu informēt par konkursa nosacījumiem rezerves daļu piegādei 29.11.2022, tiek nodrošināta piedāvājuma iesniegšana papīra formā. Baidos, ka nevarēsim piegādāt laikā. Tāpēc lūdzu iespēju iesniegt piedāvājumu e-pastā</w:t>
            </w:r>
            <w:r w:rsidRPr="00A04DAB">
              <w:rPr>
                <w:i/>
                <w:iCs/>
                <w:color w:val="000000"/>
                <w:shd w:val="clear" w:color="auto" w:fill="FFFFFF"/>
              </w:rPr>
              <w:t>.</w:t>
            </w:r>
            <w:r w:rsidRPr="00A04DAB">
              <w:rPr>
                <w:i/>
                <w:iCs/>
                <w:szCs w:val="24"/>
                <w:vertAlign w:val="superscript"/>
              </w:rPr>
              <w:t>*</w:t>
            </w:r>
          </w:p>
        </w:tc>
        <w:tc>
          <w:tcPr>
            <w:tcW w:w="4504" w:type="dxa"/>
            <w:shd w:val="clear" w:color="auto" w:fill="auto"/>
          </w:tcPr>
          <w:p w14:paraId="2EFEBC37" w14:textId="77777777" w:rsidR="00950691" w:rsidRDefault="00950691" w:rsidP="00950691">
            <w:pPr>
              <w:rPr>
                <w:szCs w:val="24"/>
              </w:rPr>
            </w:pPr>
            <w:bookmarkStart w:id="0" w:name="_Hlk105084512"/>
            <w:r w:rsidRPr="00CC4270">
              <w:rPr>
                <w:szCs w:val="24"/>
              </w:rPr>
              <w:t>Skaidrojam, ka piedāvājumu var iesniegt arī elektroniski ar drošu elektronisko parakstu vai PDF formā (ja nepieciešams, aizsargājot ar</w:t>
            </w:r>
            <w:r w:rsidRPr="00CC4270">
              <w:rPr>
                <w:rFonts w:ascii="Arial" w:hAnsi="Arial" w:cs="Arial"/>
                <w:szCs w:val="24"/>
              </w:rPr>
              <w:t xml:space="preserve"> </w:t>
            </w:r>
            <w:r w:rsidRPr="00CC4270">
              <w:rPr>
                <w:szCs w:val="24"/>
              </w:rPr>
              <w:t>drošu elektronisku atslēgu un paroli (šādā gadījumā pretendents ir atbildīgs par aizpildāmo formu atbilstību dokumentācijas prasībām un formu paraugiem, kā arī dokumenta atvēršanas un nolasīšanas iespējām)</w:t>
            </w:r>
            <w:r>
              <w:rPr>
                <w:szCs w:val="24"/>
              </w:rPr>
              <w:t>)</w:t>
            </w:r>
            <w:r w:rsidRPr="00652F72">
              <w:rPr>
                <w:szCs w:val="24"/>
              </w:rPr>
              <w:t xml:space="preserve">, nosūtot to uz e-pasta adresi: </w:t>
            </w:r>
            <w:r w:rsidRPr="00652F72">
              <w:rPr>
                <w:i/>
                <w:iCs/>
                <w:szCs w:val="24"/>
              </w:rPr>
              <w:t>info@ldz.lv</w:t>
            </w:r>
            <w:bookmarkEnd w:id="0"/>
            <w:r w:rsidRPr="00652F72">
              <w:rPr>
                <w:szCs w:val="24"/>
              </w:rPr>
              <w:t xml:space="preserve">. </w:t>
            </w:r>
          </w:p>
          <w:p w14:paraId="1F9DD624" w14:textId="7D87646A" w:rsidR="00644A58" w:rsidRPr="000323C7" w:rsidRDefault="00950691" w:rsidP="00950691">
            <w:pPr>
              <w:pStyle w:val="Sarakstarindkopa"/>
              <w:tabs>
                <w:tab w:val="left" w:pos="567"/>
              </w:tabs>
              <w:ind w:left="0"/>
              <w:jc w:val="both"/>
              <w:rPr>
                <w:bCs/>
                <w:sz w:val="24"/>
                <w:szCs w:val="24"/>
                <w:highlight w:val="yellow"/>
              </w:rPr>
            </w:pPr>
            <w:r w:rsidRPr="00652F72">
              <w:rPr>
                <w:sz w:val="24"/>
                <w:szCs w:val="24"/>
              </w:rPr>
              <w:t xml:space="preserve">Iesniedzot piedāvājumu elektroniski </w:t>
            </w:r>
            <w:r w:rsidRPr="00652F72">
              <w:rPr>
                <w:sz w:val="24"/>
                <w:szCs w:val="24"/>
                <w:lang w:eastAsia="en-US"/>
              </w:rPr>
              <w:t>pretendentam jāapzinās, ka šādā veidā netiek nodrošināta piedāvājuma satura neredzamība (konfidencialitāte), jo piedāvājuma teksts ir redzams uzreiz pēc atsūtīšanas. Pasūtītāja dokumentu vadības sistēma nespēj nodrošināt to, ka piedāvājums tiktu atvērts tikai norādītajā laikā. Ja pretendentam tā ir ērtāk un tas apzinās visus riskus, tiek pieļauta piedāvājuma iesniegšana elektroniskā veidā.</w:t>
            </w:r>
          </w:p>
        </w:tc>
      </w:tr>
    </w:tbl>
    <w:p w14:paraId="23DC7B03" w14:textId="77777777" w:rsidR="00644A58" w:rsidRPr="00C20434" w:rsidRDefault="00644A58" w:rsidP="00644A58">
      <w:pPr>
        <w:ind w:left="-426" w:right="-625"/>
        <w:rPr>
          <w:rFonts w:ascii="Arial" w:hAnsi="Arial" w:cs="Arial"/>
        </w:rPr>
      </w:pPr>
      <w:r w:rsidRPr="0016688A">
        <w:rPr>
          <w:i/>
          <w:iCs/>
          <w:sz w:val="20"/>
          <w:szCs w:val="20"/>
          <w:vertAlign w:val="superscript"/>
        </w:rPr>
        <w:t>*</w:t>
      </w:r>
      <w:r w:rsidRPr="0016688A">
        <w:rPr>
          <w:rFonts w:eastAsia="Calibri"/>
          <w:i/>
          <w:iCs/>
          <w:sz w:val="20"/>
          <w:szCs w:val="20"/>
        </w:rPr>
        <w:t>N</w:t>
      </w:r>
      <w:r w:rsidRPr="0016688A">
        <w:rPr>
          <w:i/>
          <w:iCs/>
          <w:sz w:val="20"/>
          <w:szCs w:val="20"/>
        </w:rPr>
        <w:t>orādām, ka ieinteresētais piegādātājs iesniedza jautājum</w:t>
      </w:r>
      <w:r>
        <w:rPr>
          <w:i/>
          <w:iCs/>
          <w:sz w:val="20"/>
          <w:szCs w:val="20"/>
        </w:rPr>
        <w:t>u</w:t>
      </w:r>
      <w:r w:rsidRPr="0016688A">
        <w:rPr>
          <w:i/>
          <w:iCs/>
          <w:sz w:val="20"/>
          <w:szCs w:val="20"/>
        </w:rPr>
        <w:t xml:space="preserve"> par sarunu procedūras nolikuma prasībām krievu valodā un bez attiecīga tulkojuma latviešu valodā, neievērojot </w:t>
      </w:r>
      <w:r w:rsidRPr="0016688A">
        <w:rPr>
          <w:i/>
          <w:iCs/>
          <w:color w:val="333333"/>
          <w:sz w:val="20"/>
          <w:szCs w:val="20"/>
        </w:rPr>
        <w:t xml:space="preserve">sarunu procedūras nolikuma 1.7.3.punkta nosacījumus. </w:t>
      </w:r>
      <w:r>
        <w:rPr>
          <w:i/>
          <w:iCs/>
          <w:color w:val="333333"/>
          <w:sz w:val="20"/>
          <w:szCs w:val="20"/>
        </w:rPr>
        <w:t xml:space="preserve">Jautājuma </w:t>
      </w:r>
      <w:r w:rsidRPr="0016688A">
        <w:rPr>
          <w:i/>
          <w:iCs/>
          <w:sz w:val="20"/>
          <w:szCs w:val="20"/>
        </w:rPr>
        <w:t xml:space="preserve">iesniegšana svešvalodā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16688A">
        <w:rPr>
          <w:b/>
          <w:bCs/>
          <w:i/>
          <w:iCs/>
          <w:sz w:val="20"/>
          <w:szCs w:val="20"/>
          <w:u w:val="single"/>
        </w:rPr>
        <w:t>pasūtītājs neatbild par saņemt</w:t>
      </w:r>
      <w:r>
        <w:rPr>
          <w:b/>
          <w:bCs/>
          <w:i/>
          <w:iCs/>
          <w:sz w:val="20"/>
          <w:szCs w:val="20"/>
          <w:u w:val="single"/>
        </w:rPr>
        <w:t>ā jautājuma</w:t>
      </w:r>
      <w:r w:rsidRPr="0016688A">
        <w:rPr>
          <w:b/>
          <w:bCs/>
          <w:i/>
          <w:iCs/>
          <w:sz w:val="20"/>
          <w:szCs w:val="20"/>
          <w:u w:val="single"/>
        </w:rPr>
        <w:t xml:space="preserve"> tulkojum</w:t>
      </w:r>
      <w:r>
        <w:rPr>
          <w:b/>
          <w:bCs/>
          <w:i/>
          <w:iCs/>
          <w:sz w:val="20"/>
          <w:szCs w:val="20"/>
          <w:u w:val="single"/>
        </w:rPr>
        <w:t>a</w:t>
      </w:r>
      <w:r w:rsidRPr="0016688A">
        <w:rPr>
          <w:b/>
          <w:bCs/>
          <w:i/>
          <w:iCs/>
          <w:sz w:val="20"/>
          <w:szCs w:val="20"/>
          <w:u w:val="single"/>
        </w:rPr>
        <w:t xml:space="preserve"> pareizību</w:t>
      </w:r>
      <w:r>
        <w:rPr>
          <w:b/>
          <w:bCs/>
          <w:szCs w:val="24"/>
          <w:u w:val="single"/>
        </w:rPr>
        <w:t>.</w:t>
      </w:r>
    </w:p>
    <w:p w14:paraId="458381CD" w14:textId="77777777" w:rsidR="00644A58" w:rsidRPr="00C20434" w:rsidRDefault="00644A58">
      <w:pPr>
        <w:rPr>
          <w:rFonts w:ascii="Arial" w:hAnsi="Arial" w:cs="Arial"/>
        </w:rPr>
      </w:pPr>
    </w:p>
    <w:sectPr w:rsidR="00644A58"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58"/>
    <w:rsid w:val="003204EA"/>
    <w:rsid w:val="00644A58"/>
    <w:rsid w:val="00950691"/>
    <w:rsid w:val="0098236C"/>
    <w:rsid w:val="00BB6396"/>
    <w:rsid w:val="00C20434"/>
    <w:rsid w:val="00D641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9588"/>
  <w15:chartTrackingRefBased/>
  <w15:docId w15:val="{75ADBA80-736D-46B4-B98A-33E5965B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4A58"/>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644A58"/>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644A58"/>
    <w:rPr>
      <w:rFonts w:ascii="Times New Roman" w:eastAsia="Calibri" w:hAnsi="Times New Roman" w:cs="Times New Roman"/>
      <w:sz w:val="20"/>
      <w:szCs w:val="20"/>
      <w:lang w:eastAsia="lv-LV"/>
    </w:rPr>
  </w:style>
  <w:style w:type="character" w:customStyle="1" w:styleId="field-content5">
    <w:name w:val="field-content5"/>
    <w:basedOn w:val="Noklusjumarindkopasfonts"/>
    <w:rsid w:val="0095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827</Characters>
  <Application>Microsoft Office Word</Application>
  <DocSecurity>0</DocSecurity>
  <Lines>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2022-11-23T15:12:00Z</dcterms:created>
  <dcterms:modified xsi:type="dcterms:W3CDTF">2022-11-23T15:12:00Z</dcterms:modified>
</cp:coreProperties>
</file>