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21A7F138" w:rsidR="001A3CAD" w:rsidRPr="00B91F0C"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 xml:space="preserve">.gada </w:t>
      </w:r>
      <w:r w:rsidR="00AA44A7" w:rsidRPr="00B91F0C">
        <w:rPr>
          <w:rFonts w:ascii="Times New Roman" w:eastAsia="Arial Unicode MS" w:hAnsi="Times New Roman" w:cs="Times New Roman"/>
          <w:i/>
          <w:sz w:val="24"/>
          <w:szCs w:val="24"/>
        </w:rPr>
        <w:t>26</w:t>
      </w:r>
      <w:r w:rsidR="002A2ACD" w:rsidRPr="00B91F0C">
        <w:rPr>
          <w:rFonts w:ascii="Times New Roman" w:eastAsia="Arial Unicode MS" w:hAnsi="Times New Roman" w:cs="Times New Roman"/>
          <w:i/>
          <w:sz w:val="24"/>
          <w:szCs w:val="24"/>
        </w:rPr>
        <w:t>.aprīļa</w:t>
      </w:r>
    </w:p>
    <w:p w14:paraId="74333141" w14:textId="43AB5C20"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B91F0C">
        <w:rPr>
          <w:rFonts w:ascii="Times New Roman" w:eastAsia="Arial Unicode MS" w:hAnsi="Times New Roman" w:cs="Times New Roman"/>
          <w:i/>
          <w:sz w:val="24"/>
          <w:szCs w:val="24"/>
        </w:rPr>
        <w:t>sēdes protokolu Nr.</w:t>
      </w:r>
      <w:r w:rsidR="002A2ACD" w:rsidRPr="00B91F0C">
        <w:rPr>
          <w:rFonts w:ascii="Times New Roman" w:eastAsia="Arial Unicode MS" w:hAnsi="Times New Roman" w:cs="Times New Roman"/>
          <w:i/>
          <w:sz w:val="24"/>
          <w:szCs w:val="24"/>
        </w:rPr>
        <w:t>2</w:t>
      </w:r>
    </w:p>
    <w:p w14:paraId="6AF574B6" w14:textId="77777777" w:rsidR="001A3CAD" w:rsidRPr="00AA44A7" w:rsidRDefault="001A3CAD" w:rsidP="00DB2F93">
      <w:pPr>
        <w:tabs>
          <w:tab w:val="left" w:pos="3760"/>
        </w:tabs>
        <w:ind w:right="282"/>
        <w:rPr>
          <w:rFonts w:ascii="Times New Roman" w:hAnsi="Times New Roman" w:cs="Times New Roman"/>
          <w:b/>
          <w:sz w:val="24"/>
          <w:szCs w:val="24"/>
        </w:rPr>
      </w:pPr>
    </w:p>
    <w:p w14:paraId="658B4BBF" w14:textId="77777777" w:rsidR="00713CA1" w:rsidRPr="00AA44A7" w:rsidRDefault="00713CA1" w:rsidP="00DB2F93">
      <w:pPr>
        <w:pStyle w:val="Nosaukums"/>
        <w:rPr>
          <w:b/>
          <w:sz w:val="24"/>
          <w:szCs w:val="24"/>
        </w:rPr>
      </w:pPr>
      <w:bookmarkStart w:id="0" w:name="_Hlk70322056"/>
      <w:r w:rsidRPr="00AA44A7">
        <w:rPr>
          <w:b/>
          <w:sz w:val="24"/>
          <w:szCs w:val="24"/>
        </w:rPr>
        <w:t>VAS “Latvijas dzelzceļš”</w:t>
      </w:r>
    </w:p>
    <w:p w14:paraId="2BE5D24D" w14:textId="77777777" w:rsidR="00713CA1" w:rsidRPr="00AA44A7" w:rsidRDefault="00713CA1" w:rsidP="00DB2F93">
      <w:pPr>
        <w:pStyle w:val="Nosaukums"/>
        <w:rPr>
          <w:b/>
          <w:sz w:val="24"/>
          <w:szCs w:val="24"/>
        </w:rPr>
      </w:pPr>
      <w:r w:rsidRPr="00AA44A7">
        <w:rPr>
          <w:b/>
          <w:sz w:val="24"/>
          <w:szCs w:val="24"/>
        </w:rPr>
        <w:t>Atklātā konkursa</w:t>
      </w:r>
    </w:p>
    <w:p w14:paraId="65C24E6A" w14:textId="7CB2CB41" w:rsidR="002A2ACD" w:rsidRPr="00AA44A7" w:rsidRDefault="002A2ACD" w:rsidP="00DB2F93">
      <w:pPr>
        <w:pStyle w:val="Nosaukums"/>
        <w:rPr>
          <w:b/>
          <w:sz w:val="24"/>
          <w:szCs w:val="24"/>
        </w:rPr>
      </w:pPr>
      <w:bookmarkStart w:id="1" w:name="_Hlk66781127"/>
      <w:r w:rsidRPr="00AA44A7">
        <w:rPr>
          <w:b/>
          <w:sz w:val="24"/>
          <w:szCs w:val="24"/>
        </w:rPr>
        <w:t>“Vienotās informatīvās apziņošanas un videonovērošanas sistēmu ieviešana”</w:t>
      </w:r>
      <w:bookmarkEnd w:id="1"/>
    </w:p>
    <w:p w14:paraId="6332F65D" w14:textId="6A4724ED" w:rsidR="001A3CAD" w:rsidRPr="00AA44A7" w:rsidRDefault="002A2ACD" w:rsidP="00DB2F93">
      <w:pPr>
        <w:pStyle w:val="Nosaukums"/>
        <w:rPr>
          <w:b/>
          <w:sz w:val="24"/>
          <w:szCs w:val="24"/>
        </w:rPr>
      </w:pPr>
      <w:r w:rsidRPr="00AA44A7">
        <w:rPr>
          <w:b/>
          <w:sz w:val="24"/>
          <w:szCs w:val="24"/>
        </w:rPr>
        <w:t>(iepirkuma identifikācijas numurs: LDZ 2021/7-IB)</w:t>
      </w:r>
    </w:p>
    <w:p w14:paraId="35222B4C" w14:textId="77777777" w:rsidR="002E107A" w:rsidRPr="00AA44A7" w:rsidRDefault="001A3CAD" w:rsidP="00DB2F93">
      <w:pPr>
        <w:jc w:val="center"/>
        <w:rPr>
          <w:rFonts w:ascii="Times New Roman" w:hAnsi="Times New Roman" w:cs="Times New Roman"/>
          <w:b/>
          <w:sz w:val="24"/>
          <w:szCs w:val="24"/>
        </w:rPr>
      </w:pPr>
      <w:r w:rsidRPr="00AA44A7">
        <w:rPr>
          <w:rFonts w:ascii="Times New Roman" w:hAnsi="Times New Roman" w:cs="Times New Roman"/>
          <w:b/>
          <w:sz w:val="24"/>
          <w:szCs w:val="24"/>
        </w:rPr>
        <w:t>SKAIDROJUMS Nr.</w:t>
      </w:r>
      <w:r w:rsidR="004A09B4" w:rsidRPr="00AA44A7">
        <w:rPr>
          <w:rFonts w:ascii="Times New Roman" w:hAnsi="Times New Roman" w:cs="Times New Roman"/>
          <w:b/>
          <w:sz w:val="24"/>
          <w:szCs w:val="24"/>
        </w:rPr>
        <w:t>1</w:t>
      </w:r>
    </w:p>
    <w:bookmarkEnd w:id="0"/>
    <w:p w14:paraId="7AE3D075" w14:textId="77777777" w:rsidR="001F5C6D" w:rsidRPr="00DB2F93" w:rsidRDefault="001F5C6D" w:rsidP="00DB2F93">
      <w:pPr>
        <w:jc w:val="center"/>
        <w:rPr>
          <w:rFonts w:ascii="Times New Roman" w:hAnsi="Times New Roman" w:cs="Times New Roman"/>
          <w:b/>
        </w:rPr>
      </w:pPr>
    </w:p>
    <w:tbl>
      <w:tblPr>
        <w:tblStyle w:val="Reatabula"/>
        <w:tblW w:w="10277" w:type="dxa"/>
        <w:jc w:val="center"/>
        <w:tblLook w:val="04A0" w:firstRow="1" w:lastRow="0" w:firstColumn="1" w:lastColumn="0" w:noHBand="0" w:noVBand="1"/>
      </w:tblPr>
      <w:tblGrid>
        <w:gridCol w:w="890"/>
        <w:gridCol w:w="5027"/>
        <w:gridCol w:w="4360"/>
      </w:tblGrid>
      <w:tr w:rsidR="00883223" w:rsidRPr="00DB2F93" w14:paraId="69F3C653" w14:textId="77777777" w:rsidTr="164C133D">
        <w:trPr>
          <w:trHeight w:val="543"/>
          <w:jc w:val="center"/>
        </w:trPr>
        <w:tc>
          <w:tcPr>
            <w:tcW w:w="890" w:type="dxa"/>
            <w:shd w:val="clear" w:color="auto" w:fill="FFF2CC" w:themeFill="accent4" w:themeFillTint="33"/>
          </w:tcPr>
          <w:p w14:paraId="10C10E25" w14:textId="77777777" w:rsidR="00883223" w:rsidRPr="00DB2F93" w:rsidRDefault="00883223" w:rsidP="00DB2F93">
            <w:pPr>
              <w:jc w:val="center"/>
              <w:rPr>
                <w:rFonts w:ascii="Times New Roman" w:eastAsia="Calibri" w:hAnsi="Times New Roman" w:cs="Times New Roman"/>
                <w:sz w:val="22"/>
                <w:lang w:eastAsia="en-US"/>
              </w:rPr>
            </w:pPr>
            <w:bookmarkStart w:id="2" w:name="_Hlk70326926"/>
            <w:proofErr w:type="spellStart"/>
            <w:r w:rsidRPr="00DB2F93">
              <w:rPr>
                <w:rFonts w:ascii="Times New Roman" w:eastAsia="Calibri" w:hAnsi="Times New Roman" w:cs="Times New Roman"/>
                <w:sz w:val="22"/>
                <w:lang w:eastAsia="en-US"/>
              </w:rPr>
              <w:t>Nr.p.k</w:t>
            </w:r>
            <w:proofErr w:type="spellEnd"/>
            <w:r w:rsidRPr="00DB2F93">
              <w:rPr>
                <w:rFonts w:ascii="Times New Roman" w:eastAsia="Calibri" w:hAnsi="Times New Roman" w:cs="Times New Roman"/>
                <w:sz w:val="22"/>
                <w:lang w:eastAsia="en-US"/>
              </w:rPr>
              <w:t>.</w:t>
            </w:r>
          </w:p>
        </w:tc>
        <w:tc>
          <w:tcPr>
            <w:tcW w:w="5027" w:type="dxa"/>
            <w:shd w:val="clear" w:color="auto" w:fill="FFF2CC" w:themeFill="accent4" w:themeFillTint="33"/>
          </w:tcPr>
          <w:p w14:paraId="59485BCF" w14:textId="77777777" w:rsidR="00883223" w:rsidRPr="00DB2F93" w:rsidRDefault="00883223" w:rsidP="00DB2F93">
            <w:pPr>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Jautājumi</w:t>
            </w:r>
          </w:p>
        </w:tc>
        <w:tc>
          <w:tcPr>
            <w:tcW w:w="4360" w:type="dxa"/>
            <w:shd w:val="clear" w:color="auto" w:fill="FFF2CC" w:themeFill="accent4" w:themeFillTint="33"/>
          </w:tcPr>
          <w:p w14:paraId="47F70125" w14:textId="77777777" w:rsidR="00883223" w:rsidRPr="00DB2F93" w:rsidRDefault="00883223" w:rsidP="00DB2F93">
            <w:pPr>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Atbildes</w:t>
            </w:r>
          </w:p>
        </w:tc>
      </w:tr>
      <w:tr w:rsidR="00883223" w:rsidRPr="00DB2F93" w14:paraId="466E5168" w14:textId="77777777" w:rsidTr="164C133D">
        <w:trPr>
          <w:trHeight w:val="1441"/>
          <w:jc w:val="center"/>
        </w:trPr>
        <w:tc>
          <w:tcPr>
            <w:tcW w:w="890" w:type="dxa"/>
            <w:shd w:val="clear" w:color="auto" w:fill="auto"/>
          </w:tcPr>
          <w:p w14:paraId="480C4ED8" w14:textId="77777777" w:rsidR="00883223" w:rsidRPr="00DB2F93" w:rsidRDefault="00883223"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1.</w:t>
            </w:r>
          </w:p>
        </w:tc>
        <w:tc>
          <w:tcPr>
            <w:tcW w:w="5027" w:type="dxa"/>
            <w:shd w:val="clear" w:color="auto" w:fill="auto"/>
          </w:tcPr>
          <w:p w14:paraId="1B399581" w14:textId="1A7964C8" w:rsidR="00883223" w:rsidRPr="00DB2F93" w:rsidRDefault="002A2ACD" w:rsidP="00DB2F93">
            <w:pPr>
              <w:rPr>
                <w:rFonts w:ascii="Times New Roman" w:hAnsi="Times New Roman" w:cs="Times New Roman"/>
                <w:color w:val="000000"/>
                <w:sz w:val="22"/>
              </w:rPr>
            </w:pPr>
            <w:r w:rsidRPr="00DB2F93">
              <w:rPr>
                <w:rFonts w:ascii="Times New Roman" w:hAnsi="Times New Roman" w:cs="Times New Roman"/>
                <w:sz w:val="22"/>
              </w:rPr>
              <w:t>Pretendents lūdz Pasūtītāju apstiprināt, ka Pasūtītāja atsūtītajās tehniskajās prasībās fails ar nosaukumu "</w:t>
            </w:r>
            <w:proofErr w:type="spellStart"/>
            <w:r w:rsidRPr="00DB2F93">
              <w:rPr>
                <w:rFonts w:ascii="Times New Roman" w:hAnsi="Times New Roman" w:cs="Times New Roman"/>
                <w:sz w:val="22"/>
              </w:rPr>
              <w:t>Pasutitaja</w:t>
            </w:r>
            <w:proofErr w:type="spellEnd"/>
            <w:r w:rsidRPr="00DB2F93">
              <w:rPr>
                <w:rFonts w:ascii="Times New Roman" w:hAnsi="Times New Roman" w:cs="Times New Roman"/>
                <w:sz w:val="22"/>
              </w:rPr>
              <w:t xml:space="preserve"> </w:t>
            </w:r>
            <w:proofErr w:type="spellStart"/>
            <w:r w:rsidRPr="00DB2F93">
              <w:rPr>
                <w:rFonts w:ascii="Times New Roman" w:hAnsi="Times New Roman" w:cs="Times New Roman"/>
                <w:sz w:val="22"/>
              </w:rPr>
              <w:t>prasibas</w:t>
            </w:r>
            <w:proofErr w:type="spellEnd"/>
            <w:r w:rsidRPr="00DB2F93">
              <w:rPr>
                <w:rFonts w:ascii="Times New Roman" w:hAnsi="Times New Roman" w:cs="Times New Roman"/>
                <w:sz w:val="22"/>
              </w:rPr>
              <w:t xml:space="preserve"> </w:t>
            </w:r>
            <w:proofErr w:type="spellStart"/>
            <w:r w:rsidRPr="00DB2F93">
              <w:rPr>
                <w:rFonts w:ascii="Times New Roman" w:hAnsi="Times New Roman" w:cs="Times New Roman"/>
                <w:sz w:val="22"/>
              </w:rPr>
              <w:t>Buvnieciba</w:t>
            </w:r>
            <w:proofErr w:type="spellEnd"/>
            <w:r w:rsidRPr="00DB2F93">
              <w:rPr>
                <w:rFonts w:ascii="Times New Roman" w:hAnsi="Times New Roman" w:cs="Times New Roman"/>
                <w:sz w:val="22"/>
              </w:rPr>
              <w:t xml:space="preserve"> 2020_5" aprakstītā infrastruktūra un darbi ir/tiks veikti cita, atsevišķa iepirkuma sastāvā un Pretendentam tie nav jāparedz savā finanšu piedāvājumā.</w:t>
            </w:r>
          </w:p>
        </w:tc>
        <w:tc>
          <w:tcPr>
            <w:tcW w:w="4360" w:type="dxa"/>
            <w:shd w:val="clear" w:color="auto" w:fill="auto"/>
          </w:tcPr>
          <w:p w14:paraId="0B2931F6" w14:textId="2AD8C264" w:rsidR="003A407E" w:rsidRPr="00581226" w:rsidRDefault="003A407E" w:rsidP="00DB2F93">
            <w:pPr>
              <w:rPr>
                <w:rFonts w:ascii="Times New Roman" w:hAnsi="Times New Roman" w:cs="Times New Roman"/>
                <w:sz w:val="22"/>
              </w:rPr>
            </w:pPr>
            <w:r w:rsidRPr="00DB2F93">
              <w:rPr>
                <w:rFonts w:ascii="Times New Roman" w:hAnsi="Times New Roman" w:cs="Times New Roman"/>
                <w:sz w:val="22"/>
              </w:rPr>
              <w:t xml:space="preserve">Pasūtītājs apstiprina, ka Pasūtītāja </w:t>
            </w:r>
            <w:r w:rsidR="008028DE">
              <w:rPr>
                <w:rFonts w:ascii="Times New Roman" w:hAnsi="Times New Roman" w:cs="Times New Roman"/>
                <w:sz w:val="22"/>
              </w:rPr>
              <w:t xml:space="preserve">izsniegtais </w:t>
            </w:r>
            <w:r w:rsidRPr="00DB2F93">
              <w:rPr>
                <w:rFonts w:ascii="Times New Roman" w:hAnsi="Times New Roman" w:cs="Times New Roman"/>
                <w:sz w:val="22"/>
              </w:rPr>
              <w:t xml:space="preserve"> fails ar nosaukumu "</w:t>
            </w:r>
            <w:proofErr w:type="spellStart"/>
            <w:r w:rsidRPr="00DB2F93">
              <w:rPr>
                <w:rFonts w:ascii="Times New Roman" w:hAnsi="Times New Roman" w:cs="Times New Roman"/>
                <w:sz w:val="22"/>
              </w:rPr>
              <w:t>Pasutitaja</w:t>
            </w:r>
            <w:proofErr w:type="spellEnd"/>
            <w:r w:rsidRPr="00DB2F93">
              <w:rPr>
                <w:rFonts w:ascii="Times New Roman" w:hAnsi="Times New Roman" w:cs="Times New Roman"/>
                <w:sz w:val="22"/>
              </w:rPr>
              <w:t xml:space="preserve"> </w:t>
            </w:r>
            <w:proofErr w:type="spellStart"/>
            <w:r w:rsidRPr="00DB2F93">
              <w:rPr>
                <w:rFonts w:ascii="Times New Roman" w:hAnsi="Times New Roman" w:cs="Times New Roman"/>
                <w:sz w:val="22"/>
              </w:rPr>
              <w:t>prasibas</w:t>
            </w:r>
            <w:proofErr w:type="spellEnd"/>
            <w:r w:rsidRPr="00DB2F93">
              <w:rPr>
                <w:rFonts w:ascii="Times New Roman" w:hAnsi="Times New Roman" w:cs="Times New Roman"/>
                <w:sz w:val="22"/>
              </w:rPr>
              <w:t xml:space="preserve"> </w:t>
            </w:r>
            <w:proofErr w:type="spellStart"/>
            <w:r w:rsidRPr="00DB2F93">
              <w:rPr>
                <w:rFonts w:ascii="Times New Roman" w:hAnsi="Times New Roman" w:cs="Times New Roman"/>
                <w:sz w:val="22"/>
              </w:rPr>
              <w:t>Buvnieciba</w:t>
            </w:r>
            <w:proofErr w:type="spellEnd"/>
            <w:r w:rsidRPr="00DB2F93">
              <w:rPr>
                <w:rFonts w:ascii="Times New Roman" w:hAnsi="Times New Roman" w:cs="Times New Roman"/>
                <w:sz w:val="22"/>
              </w:rPr>
              <w:t xml:space="preserve"> 2020_5" aprakstītā infrastruktūra un darbi ir/tiks veikti cita, atsevišķa iepirkuma sastāvā un Pretendentam tie nav jāparedz savā finanšu piedāvājumā</w:t>
            </w:r>
            <w:r w:rsidR="00323DEF" w:rsidRPr="00581226">
              <w:rPr>
                <w:rFonts w:ascii="Times New Roman" w:hAnsi="Times New Roman" w:cs="Times New Roman"/>
                <w:sz w:val="22"/>
              </w:rPr>
              <w:t>, bet ir saistīti ar vienotās informatīvās apziņošanas un videonovērošanas sistēmu ieviešanu kopējā projektā “Dzelzceļa pasažieru infrastruktūras modernizācija”.</w:t>
            </w:r>
            <w:r w:rsidR="00323DEF" w:rsidRPr="00581226">
              <w:rPr>
                <w:rFonts w:ascii="Times New Roman" w:hAnsi="Times New Roman" w:cs="Times New Roman"/>
              </w:rPr>
              <w:t xml:space="preserve"> </w:t>
            </w:r>
          </w:p>
        </w:tc>
      </w:tr>
      <w:tr w:rsidR="00883223" w:rsidRPr="00DB2F93" w14:paraId="22E52CCA" w14:textId="77777777" w:rsidTr="164C133D">
        <w:trPr>
          <w:trHeight w:val="699"/>
          <w:jc w:val="center"/>
        </w:trPr>
        <w:tc>
          <w:tcPr>
            <w:tcW w:w="890" w:type="dxa"/>
            <w:shd w:val="clear" w:color="auto" w:fill="auto"/>
          </w:tcPr>
          <w:p w14:paraId="1135CE9D" w14:textId="77777777" w:rsidR="00883223" w:rsidRPr="00DB2F93" w:rsidRDefault="00883223"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2.</w:t>
            </w:r>
          </w:p>
        </w:tc>
        <w:tc>
          <w:tcPr>
            <w:tcW w:w="5027" w:type="dxa"/>
            <w:shd w:val="clear" w:color="auto" w:fill="auto"/>
          </w:tcPr>
          <w:p w14:paraId="5844099E" w14:textId="1A585924" w:rsidR="00883223" w:rsidRPr="00DB2F93" w:rsidRDefault="002A2ACD" w:rsidP="00DB2F93">
            <w:pPr>
              <w:rPr>
                <w:rFonts w:ascii="Times New Roman" w:hAnsi="Times New Roman" w:cs="Times New Roman"/>
                <w:color w:val="000000"/>
                <w:sz w:val="22"/>
              </w:rPr>
            </w:pPr>
            <w:r w:rsidRPr="00DB2F93">
              <w:rPr>
                <w:rFonts w:ascii="Times New Roman" w:hAnsi="Times New Roman" w:cs="Times New Roman"/>
                <w:sz w:val="22"/>
              </w:rPr>
              <w:t>4.pielikuma 14. veidlapa, 2.4. punkts - vai Pretendents var norādīt vienā pozīcijā vairākus iespējamos ražotājus, kas tiks precizēti projektēšanas laikā?</w:t>
            </w:r>
          </w:p>
        </w:tc>
        <w:tc>
          <w:tcPr>
            <w:tcW w:w="4360" w:type="dxa"/>
            <w:shd w:val="clear" w:color="auto" w:fill="auto"/>
          </w:tcPr>
          <w:p w14:paraId="4531CF29" w14:textId="6EADAA9B" w:rsidR="00DB5A73" w:rsidRPr="00DB2F93" w:rsidRDefault="00A8060D" w:rsidP="00DB2F93">
            <w:pPr>
              <w:rPr>
                <w:rFonts w:ascii="Times New Roman" w:hAnsi="Times New Roman" w:cs="Times New Roman"/>
                <w:sz w:val="22"/>
              </w:rPr>
            </w:pPr>
            <w:r w:rsidRPr="00015528">
              <w:rPr>
                <w:rFonts w:ascii="Times New Roman" w:hAnsi="Times New Roman" w:cs="Times New Roman"/>
                <w:sz w:val="22"/>
              </w:rPr>
              <w:t xml:space="preserve">Apstiprinām, ka  Pretendents var norādīt vienā pozīcijā vairākus iespējamos ražotājus, kas tiks precizēti projektēšanas laikā, atbilstoši </w:t>
            </w:r>
            <w:r w:rsidR="00394CB3" w:rsidRPr="00015528">
              <w:rPr>
                <w:rFonts w:ascii="Times New Roman" w:hAnsi="Times New Roman" w:cs="Times New Roman"/>
                <w:sz w:val="22"/>
              </w:rPr>
              <w:t>Nolikuma 4.pielikuma 14.veidlapas 2.4.punkta prasībām.</w:t>
            </w:r>
          </w:p>
        </w:tc>
      </w:tr>
      <w:tr w:rsidR="00DD535E" w:rsidRPr="00DB2F93" w14:paraId="547D06D4" w14:textId="77777777" w:rsidTr="164C133D">
        <w:trPr>
          <w:trHeight w:val="558"/>
          <w:jc w:val="center"/>
        </w:trPr>
        <w:tc>
          <w:tcPr>
            <w:tcW w:w="890" w:type="dxa"/>
            <w:shd w:val="clear" w:color="auto" w:fill="auto"/>
          </w:tcPr>
          <w:p w14:paraId="4CF41381" w14:textId="77777777" w:rsidR="00DD535E" w:rsidRPr="00DB2F93" w:rsidRDefault="00DD535E"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3.</w:t>
            </w:r>
          </w:p>
        </w:tc>
        <w:tc>
          <w:tcPr>
            <w:tcW w:w="5027" w:type="dxa"/>
            <w:shd w:val="clear" w:color="auto" w:fill="auto"/>
          </w:tcPr>
          <w:p w14:paraId="28369FB5" w14:textId="0EBFF5D1"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Vadoties pēc iepirkuma tehniskās specifikācijas dokumenta “IV Sējums – IT infrastruktūras prasības”, “Tabulas Nr.4” punkta “Sistēma”, ir noprotams, ka kopējā IT infrastruktūra tiek iedalīta divās struktūrās – “HCI platforma” un “HCI platformas papildus komponente”. No šī paša teksta izriet, ka šīs struktūras sastāv no sekojošām komponentēm: </w:t>
            </w:r>
          </w:p>
          <w:p w14:paraId="5299B1CD"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“HCI platforma: </w:t>
            </w:r>
          </w:p>
          <w:p w14:paraId="6D46F783"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 skaitļošanas mezgli; </w:t>
            </w:r>
          </w:p>
          <w:p w14:paraId="569247F6"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 tīkla iekārtas; </w:t>
            </w:r>
          </w:p>
          <w:p w14:paraId="44DF8D72"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 uz </w:t>
            </w:r>
            <w:proofErr w:type="spellStart"/>
            <w:r w:rsidRPr="00DB2F93">
              <w:rPr>
                <w:rFonts w:ascii="Times New Roman" w:hAnsi="Times New Roman" w:cs="Times New Roman"/>
                <w:i/>
                <w:iCs/>
                <w:sz w:val="22"/>
                <w:szCs w:val="22"/>
              </w:rPr>
              <w:t>programmdefinētas</w:t>
            </w:r>
            <w:proofErr w:type="spellEnd"/>
            <w:r w:rsidRPr="00DB2F93">
              <w:rPr>
                <w:rFonts w:ascii="Times New Roman" w:hAnsi="Times New Roman" w:cs="Times New Roman"/>
                <w:i/>
                <w:iCs/>
                <w:sz w:val="22"/>
                <w:szCs w:val="22"/>
              </w:rPr>
              <w:t xml:space="preserve"> datu glabāšanas principiem bāzēta video datu glabāšanas mezgli; </w:t>
            </w:r>
          </w:p>
          <w:p w14:paraId="4F422987"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 virtualizācijas un pārvaldības rīki. </w:t>
            </w:r>
          </w:p>
          <w:p w14:paraId="383FF516"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HCI platformas papildus komponente: </w:t>
            </w:r>
          </w:p>
          <w:p w14:paraId="08AA2D0E"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 video datu arhīva glabāšanas iekārtas. </w:t>
            </w:r>
          </w:p>
          <w:p w14:paraId="038F2052"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Kopā “HCI platforma” un “HCI platformas papildus komponente” tiek saukta par “Sistēmu”” </w:t>
            </w:r>
          </w:p>
          <w:p w14:paraId="24D7A00A"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Tālāk vadoties pēc “Tabulas Nr.6” punkta “HCI platformas papildus komponentes infrastruktūras veids”, seko sekojoša prasība: </w:t>
            </w:r>
          </w:p>
          <w:p w14:paraId="7F236696" w14:textId="77777777" w:rsidR="00DD535E" w:rsidRPr="00DB2F93" w:rsidRDefault="00DD535E"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“HCI platformas papildus komponentei jābūt savienotai ar </w:t>
            </w:r>
            <w:proofErr w:type="spellStart"/>
            <w:r w:rsidRPr="00DB2F93">
              <w:rPr>
                <w:rFonts w:ascii="Times New Roman" w:hAnsi="Times New Roman" w:cs="Times New Roman"/>
                <w:i/>
                <w:iCs/>
                <w:sz w:val="22"/>
                <w:szCs w:val="22"/>
              </w:rPr>
              <w:t>programmdefinētas</w:t>
            </w:r>
            <w:proofErr w:type="spellEnd"/>
            <w:r w:rsidRPr="00DB2F93">
              <w:rPr>
                <w:rFonts w:ascii="Times New Roman" w:hAnsi="Times New Roman" w:cs="Times New Roman"/>
                <w:i/>
                <w:iCs/>
                <w:sz w:val="22"/>
                <w:szCs w:val="22"/>
              </w:rPr>
              <w:t xml:space="preserve"> datu glabāšanas principiem bāzēta video datu glabāšanas apakšsistēmu, izmantojot NAS risinājuma struktūru, nodrošinot video datu glabāšanu un arhivēšanu. Video ierakstu datu </w:t>
            </w:r>
            <w:r w:rsidRPr="00DB2F93">
              <w:rPr>
                <w:rFonts w:ascii="Times New Roman" w:hAnsi="Times New Roman" w:cs="Times New Roman"/>
                <w:sz w:val="22"/>
                <w:szCs w:val="22"/>
              </w:rPr>
              <w:t xml:space="preserve">Ierobežotas pieejamības ārēja informācija </w:t>
            </w:r>
          </w:p>
          <w:p w14:paraId="0C238939" w14:textId="77777777" w:rsidR="00DD535E" w:rsidRPr="00DB2F93" w:rsidRDefault="00DD535E" w:rsidP="00DB2F93">
            <w:pPr>
              <w:pStyle w:val="Default"/>
              <w:rPr>
                <w:rFonts w:ascii="Times New Roman" w:hAnsi="Times New Roman" w:cs="Times New Roman"/>
                <w:color w:val="auto"/>
                <w:sz w:val="22"/>
                <w:szCs w:val="22"/>
              </w:rPr>
            </w:pPr>
          </w:p>
          <w:p w14:paraId="4A540595" w14:textId="77777777" w:rsidR="00DD535E" w:rsidRPr="00DB2F93" w:rsidRDefault="00DD535E" w:rsidP="00DB2F93">
            <w:pPr>
              <w:pStyle w:val="Default"/>
              <w:pageBreakBefore/>
              <w:rPr>
                <w:rFonts w:ascii="Times New Roman" w:hAnsi="Times New Roman" w:cs="Times New Roman"/>
                <w:color w:val="auto"/>
                <w:sz w:val="22"/>
                <w:szCs w:val="22"/>
              </w:rPr>
            </w:pPr>
            <w:r w:rsidRPr="00DB2F93">
              <w:rPr>
                <w:rFonts w:ascii="Times New Roman" w:hAnsi="Times New Roman" w:cs="Times New Roman"/>
                <w:i/>
                <w:iCs/>
                <w:color w:val="auto"/>
                <w:sz w:val="22"/>
                <w:szCs w:val="22"/>
              </w:rPr>
              <w:lastRenderedPageBreak/>
              <w:t xml:space="preserve">glabāšanas sistēma sastāv no vismaz 4 (četriem) identiskiem video datu glabāšanas mezgliem”. </w:t>
            </w:r>
          </w:p>
          <w:p w14:paraId="1466EF9C" w14:textId="77777777" w:rsidR="00DD535E" w:rsidRPr="00DB2F93" w:rsidRDefault="00DD535E" w:rsidP="00DB2F93">
            <w:pPr>
              <w:pStyle w:val="Default"/>
              <w:rPr>
                <w:rFonts w:ascii="Times New Roman" w:hAnsi="Times New Roman" w:cs="Times New Roman"/>
                <w:color w:val="auto"/>
                <w:sz w:val="22"/>
                <w:szCs w:val="22"/>
              </w:rPr>
            </w:pPr>
            <w:r w:rsidRPr="00DB2F93">
              <w:rPr>
                <w:rFonts w:ascii="Times New Roman" w:hAnsi="Times New Roman" w:cs="Times New Roman"/>
                <w:color w:val="auto"/>
                <w:sz w:val="22"/>
                <w:szCs w:val="22"/>
              </w:rPr>
              <w:t xml:space="preserve">Rezultātā vadoties pēc “Tabulā Nr.4” un “Tabulā Nr.6” sniegtās informācijas sanāk, ka “HCI platformas papildus komponente” un “video ierakstu datu glabāšanas sistēma” ir divas dažādas fiziskas iekārtas. </w:t>
            </w:r>
          </w:p>
          <w:p w14:paraId="4C02FC47" w14:textId="77777777" w:rsidR="00DD535E" w:rsidRPr="00DB2F93" w:rsidRDefault="00DD535E" w:rsidP="00DB2F93">
            <w:pPr>
              <w:pStyle w:val="Default"/>
              <w:rPr>
                <w:rFonts w:ascii="Times New Roman" w:hAnsi="Times New Roman" w:cs="Times New Roman"/>
                <w:color w:val="auto"/>
                <w:sz w:val="22"/>
                <w:szCs w:val="22"/>
              </w:rPr>
            </w:pPr>
            <w:r w:rsidRPr="00DB2F93">
              <w:rPr>
                <w:rFonts w:ascii="Times New Roman" w:hAnsi="Times New Roman" w:cs="Times New Roman"/>
                <w:color w:val="auto"/>
                <w:sz w:val="22"/>
                <w:szCs w:val="22"/>
              </w:rPr>
              <w:t xml:space="preserve">Tehniskajā specifikācijā nekur neuzrādās </w:t>
            </w:r>
            <w:proofErr w:type="spellStart"/>
            <w:r w:rsidRPr="00DB2F93">
              <w:rPr>
                <w:rFonts w:ascii="Times New Roman" w:hAnsi="Times New Roman" w:cs="Times New Roman"/>
                <w:color w:val="auto"/>
                <w:sz w:val="22"/>
                <w:szCs w:val="22"/>
              </w:rPr>
              <w:t>programmdefinētas</w:t>
            </w:r>
            <w:proofErr w:type="spellEnd"/>
            <w:r w:rsidRPr="00DB2F93">
              <w:rPr>
                <w:rFonts w:ascii="Times New Roman" w:hAnsi="Times New Roman" w:cs="Times New Roman"/>
                <w:color w:val="auto"/>
                <w:sz w:val="22"/>
                <w:szCs w:val="22"/>
              </w:rPr>
              <w:t xml:space="preserve"> datu glabāšanas principiem bāzētās video datu glabāšanas mezglu tehniskās prasības. Ir vienīgi “Tabulas Nr.6” punktos “HCI platformas papildu komponentes kapacitāte”, “Operatīvā atmiņa” un “Mezglu skaits” uzskaitītas HCI platformas papildus komponentes tehniskās prasības. </w:t>
            </w:r>
          </w:p>
          <w:p w14:paraId="29950A02" w14:textId="77777777" w:rsidR="00DD535E" w:rsidRPr="00DB2F93" w:rsidRDefault="00DD535E" w:rsidP="00DB2F93">
            <w:pPr>
              <w:pStyle w:val="Default"/>
              <w:rPr>
                <w:rFonts w:ascii="Times New Roman" w:hAnsi="Times New Roman" w:cs="Times New Roman"/>
                <w:color w:val="auto"/>
                <w:sz w:val="22"/>
                <w:szCs w:val="22"/>
              </w:rPr>
            </w:pPr>
            <w:r w:rsidRPr="00DB2F93">
              <w:rPr>
                <w:rFonts w:ascii="Times New Roman" w:hAnsi="Times New Roman" w:cs="Times New Roman"/>
                <w:color w:val="auto"/>
                <w:sz w:val="22"/>
                <w:szCs w:val="22"/>
              </w:rPr>
              <w:t>Bet ņemot vērā, ka “Tabulas Nr.6” punktā “Mezglu skaits” ir minēts, ka “HCI platformas papildu komponentes video datu glabāšanas sistēmas kopējam mezglu skaitam jābūt vismaz 4 (četriem),” varbūt tomēr “HCI platformas papildu komponente” un “</w:t>
            </w:r>
            <w:proofErr w:type="spellStart"/>
            <w:r w:rsidRPr="00DB2F93">
              <w:rPr>
                <w:rFonts w:ascii="Times New Roman" w:hAnsi="Times New Roman" w:cs="Times New Roman"/>
                <w:color w:val="auto"/>
                <w:sz w:val="22"/>
                <w:szCs w:val="22"/>
              </w:rPr>
              <w:t>programmdefinētas</w:t>
            </w:r>
            <w:proofErr w:type="spellEnd"/>
            <w:r w:rsidRPr="00DB2F93">
              <w:rPr>
                <w:rFonts w:ascii="Times New Roman" w:hAnsi="Times New Roman" w:cs="Times New Roman"/>
                <w:color w:val="auto"/>
                <w:sz w:val="22"/>
                <w:szCs w:val="22"/>
              </w:rPr>
              <w:t xml:space="preserve"> datu glabāšanas principiem bāzētā video datu glabāšanas sistēma” ir viens un tas pats, pat neskatoties uz to, ka “Tabulas Nr.4” punktā “Sistēma” šīs komponentes tiek nepārprotami nošķirtas (skat. pirmo rindkopu)? </w:t>
            </w:r>
          </w:p>
          <w:p w14:paraId="4A9D18B3" w14:textId="55ADBCE0" w:rsidR="00DD535E" w:rsidRPr="00DB2F93" w:rsidRDefault="00DD535E" w:rsidP="00DB2F93">
            <w:pPr>
              <w:rPr>
                <w:rFonts w:ascii="Times New Roman" w:hAnsi="Times New Roman" w:cs="Times New Roman"/>
                <w:i/>
                <w:iCs/>
                <w:color w:val="000000"/>
                <w:sz w:val="22"/>
              </w:rPr>
            </w:pPr>
            <w:r w:rsidRPr="00DB2F93">
              <w:rPr>
                <w:rFonts w:ascii="Times New Roman" w:hAnsi="Times New Roman" w:cs="Times New Roman"/>
                <w:i/>
                <w:iCs/>
                <w:sz w:val="22"/>
              </w:rPr>
              <w:t>Vai ir iespējams sniegt papildus informāciju un lietotās terminoloģijas skaidrojumu, kas nepārprotami definētu nepieciešamā risinājuma arhitektūras pamat komponentes un to tehniskās prasības?</w:t>
            </w:r>
          </w:p>
        </w:tc>
        <w:tc>
          <w:tcPr>
            <w:tcW w:w="4360" w:type="dxa"/>
            <w:shd w:val="clear" w:color="auto" w:fill="auto"/>
          </w:tcPr>
          <w:p w14:paraId="0AEF20A8" w14:textId="77777777" w:rsidR="00C92183" w:rsidRPr="00DB2F93" w:rsidRDefault="00C92183" w:rsidP="00DB2F93">
            <w:pPr>
              <w:pStyle w:val="paragraph"/>
              <w:spacing w:before="0" w:beforeAutospacing="0" w:after="0" w:afterAutospacing="0"/>
              <w:textAlignment w:val="baseline"/>
              <w:rPr>
                <w:sz w:val="22"/>
                <w:szCs w:val="22"/>
              </w:rPr>
            </w:pPr>
            <w:r w:rsidRPr="00DB2F93">
              <w:rPr>
                <w:rStyle w:val="normaltextrun"/>
                <w:sz w:val="22"/>
                <w:szCs w:val="22"/>
              </w:rPr>
              <w:lastRenderedPageBreak/>
              <w:t>Skaidrojam, ka risinājuma arhitektūra sastāv no sekojošām komponentēm:</w:t>
            </w:r>
            <w:r w:rsidRPr="00DB2F93">
              <w:rPr>
                <w:rStyle w:val="eop"/>
                <w:sz w:val="22"/>
                <w:szCs w:val="22"/>
              </w:rPr>
              <w:t> </w:t>
            </w:r>
          </w:p>
          <w:p w14:paraId="12C4835B" w14:textId="77777777" w:rsidR="00C92183" w:rsidRPr="00DB2F93" w:rsidRDefault="00C92183" w:rsidP="00DB2F93">
            <w:pPr>
              <w:pStyle w:val="paragraph"/>
              <w:numPr>
                <w:ilvl w:val="0"/>
                <w:numId w:val="7"/>
              </w:numPr>
              <w:spacing w:before="0" w:beforeAutospacing="0" w:after="0" w:afterAutospacing="0"/>
              <w:ind w:left="208" w:hanging="141"/>
              <w:textAlignment w:val="baseline"/>
              <w:rPr>
                <w:sz w:val="22"/>
                <w:szCs w:val="22"/>
              </w:rPr>
            </w:pPr>
            <w:r w:rsidRPr="00DB2F93">
              <w:rPr>
                <w:rStyle w:val="normaltextrun"/>
                <w:sz w:val="22"/>
                <w:szCs w:val="22"/>
              </w:rPr>
              <w:t>Serveru virtualizācijas platformas nodrošinājums (prasības definētas Tabulā Nr.4) </w:t>
            </w:r>
            <w:r w:rsidRPr="00DB2F93">
              <w:rPr>
                <w:rStyle w:val="eop"/>
                <w:sz w:val="22"/>
                <w:szCs w:val="22"/>
              </w:rPr>
              <w:t> </w:t>
            </w:r>
          </w:p>
          <w:p w14:paraId="17F007FD" w14:textId="77777777" w:rsidR="00C92183" w:rsidRPr="00DB2F93" w:rsidRDefault="00C92183" w:rsidP="00DB2F93">
            <w:pPr>
              <w:pStyle w:val="paragraph"/>
              <w:numPr>
                <w:ilvl w:val="0"/>
                <w:numId w:val="7"/>
              </w:numPr>
              <w:spacing w:before="0" w:beforeAutospacing="0" w:after="0" w:afterAutospacing="0"/>
              <w:ind w:left="208" w:hanging="141"/>
              <w:textAlignment w:val="baseline"/>
              <w:rPr>
                <w:sz w:val="22"/>
                <w:szCs w:val="22"/>
              </w:rPr>
            </w:pPr>
            <w:r w:rsidRPr="00DB2F93">
              <w:rPr>
                <w:rStyle w:val="normaltextrun"/>
                <w:sz w:val="22"/>
                <w:szCs w:val="22"/>
              </w:rPr>
              <w:t>Fizisko HCI platformas skaitļošanas mezglu prasības (prasības definētas Tabulā Nr.5)</w:t>
            </w:r>
            <w:r w:rsidRPr="00DB2F93">
              <w:rPr>
                <w:rStyle w:val="eop"/>
                <w:sz w:val="22"/>
                <w:szCs w:val="22"/>
              </w:rPr>
              <w:t> </w:t>
            </w:r>
          </w:p>
          <w:p w14:paraId="6E6F24C9" w14:textId="77777777" w:rsidR="00C92183" w:rsidRPr="00DB2F93" w:rsidRDefault="00C92183" w:rsidP="00DB2F93">
            <w:pPr>
              <w:pStyle w:val="paragraph"/>
              <w:numPr>
                <w:ilvl w:val="0"/>
                <w:numId w:val="7"/>
              </w:numPr>
              <w:spacing w:before="0" w:beforeAutospacing="0" w:after="0" w:afterAutospacing="0"/>
              <w:ind w:left="208" w:hanging="141"/>
              <w:textAlignment w:val="baseline"/>
              <w:rPr>
                <w:sz w:val="22"/>
                <w:szCs w:val="22"/>
              </w:rPr>
            </w:pPr>
            <w:r w:rsidRPr="00DB2F93">
              <w:rPr>
                <w:rStyle w:val="normaltextrun"/>
                <w:sz w:val="22"/>
                <w:szCs w:val="22"/>
              </w:rPr>
              <w:t>HCI platformas papildus komponente (prasības definētas Tabulā Nr.6)</w:t>
            </w:r>
            <w:r w:rsidRPr="00DB2F93">
              <w:rPr>
                <w:rStyle w:val="eop"/>
                <w:sz w:val="22"/>
                <w:szCs w:val="22"/>
              </w:rPr>
              <w:t> </w:t>
            </w:r>
          </w:p>
          <w:p w14:paraId="2536138B" w14:textId="59CF0737" w:rsidR="00C92183" w:rsidRPr="00DB2F93" w:rsidRDefault="00A10396" w:rsidP="00DB2F93">
            <w:pPr>
              <w:pStyle w:val="paragraph"/>
              <w:spacing w:before="0" w:beforeAutospacing="0" w:after="0" w:afterAutospacing="0"/>
              <w:textAlignment w:val="baseline"/>
              <w:rPr>
                <w:rStyle w:val="normaltextrun"/>
                <w:sz w:val="22"/>
                <w:szCs w:val="22"/>
              </w:rPr>
            </w:pPr>
            <w:r w:rsidRPr="00DB2F93">
              <w:rPr>
                <w:rStyle w:val="normaltextrun"/>
                <w:sz w:val="22"/>
                <w:szCs w:val="22"/>
              </w:rPr>
              <w:t xml:space="preserve">Saskaņa ar </w:t>
            </w:r>
            <w:r w:rsidR="00770C78" w:rsidRPr="00DB2F93">
              <w:rPr>
                <w:rStyle w:val="normaltextrun"/>
                <w:sz w:val="22"/>
                <w:szCs w:val="22"/>
              </w:rPr>
              <w:t>3.5.</w:t>
            </w:r>
            <w:r w:rsidR="00770C78" w:rsidRPr="00DB2F93">
              <w:rPr>
                <w:rStyle w:val="normaltextrun"/>
                <w:sz w:val="22"/>
                <w:szCs w:val="22"/>
              </w:rPr>
              <w:tab/>
              <w:t xml:space="preserve">Video ierakstu datu glabāšanas sistēma – HCI platformas papildus komponente </w:t>
            </w:r>
            <w:r w:rsidR="00CE5A0C" w:rsidRPr="00DB2F93">
              <w:rPr>
                <w:rStyle w:val="normaltextrun"/>
                <w:sz w:val="22"/>
                <w:szCs w:val="22"/>
              </w:rPr>
              <w:t xml:space="preserve">(tabula Nr.6) </w:t>
            </w:r>
            <w:r w:rsidR="00770C78" w:rsidRPr="00DB2F93">
              <w:rPr>
                <w:rStyle w:val="normaltextrun"/>
                <w:sz w:val="22"/>
                <w:szCs w:val="22"/>
              </w:rPr>
              <w:t>lauk</w:t>
            </w:r>
            <w:r w:rsidR="00512082" w:rsidRPr="00DB2F93">
              <w:rPr>
                <w:rStyle w:val="normaltextrun"/>
                <w:sz w:val="22"/>
                <w:szCs w:val="22"/>
              </w:rPr>
              <w:t>u</w:t>
            </w:r>
            <w:r w:rsidR="0052252A" w:rsidRPr="00DB2F93">
              <w:rPr>
                <w:rStyle w:val="normaltextrun"/>
                <w:sz w:val="22"/>
                <w:szCs w:val="22"/>
              </w:rPr>
              <w:t xml:space="preserve"> “HCI platformas papildu komponentes infrastruktūras veids”</w:t>
            </w:r>
            <w:r w:rsidR="00512082" w:rsidRPr="00DB2F93">
              <w:rPr>
                <w:rStyle w:val="normaltextrun"/>
                <w:sz w:val="22"/>
                <w:szCs w:val="22"/>
              </w:rPr>
              <w:t xml:space="preserve"> </w:t>
            </w:r>
            <w:r w:rsidR="0052252A" w:rsidRPr="00DB2F93">
              <w:rPr>
                <w:rStyle w:val="normaltextrun"/>
                <w:sz w:val="22"/>
                <w:szCs w:val="22"/>
              </w:rPr>
              <w:t xml:space="preserve">skaidrojam, ka </w:t>
            </w:r>
            <w:r w:rsidR="00C92183" w:rsidRPr="00DB2F93">
              <w:rPr>
                <w:rStyle w:val="normaltextrun"/>
                <w:sz w:val="22"/>
                <w:szCs w:val="22"/>
              </w:rPr>
              <w:t>HCI</w:t>
            </w:r>
            <w:r w:rsidR="00DB2F93" w:rsidRPr="00DB2F93">
              <w:rPr>
                <w:rStyle w:val="normaltextrun"/>
                <w:sz w:val="22"/>
                <w:szCs w:val="22"/>
              </w:rPr>
              <w:t xml:space="preserve"> </w:t>
            </w:r>
            <w:r w:rsidR="00C92183" w:rsidRPr="00DB2F93">
              <w:rPr>
                <w:rStyle w:val="normaltextrun"/>
                <w:sz w:val="22"/>
                <w:szCs w:val="22"/>
              </w:rPr>
              <w:t>papildu komponente</w:t>
            </w:r>
            <w:r w:rsidR="00DB2F93" w:rsidRPr="00DB2F93">
              <w:rPr>
                <w:rStyle w:val="normaltextrun"/>
                <w:sz w:val="22"/>
                <w:szCs w:val="22"/>
              </w:rPr>
              <w:t xml:space="preserve"> </w:t>
            </w:r>
            <w:r w:rsidR="00C92183" w:rsidRPr="00DB2F93">
              <w:rPr>
                <w:rStyle w:val="normaltextrun"/>
                <w:sz w:val="22"/>
                <w:szCs w:val="22"/>
              </w:rPr>
              <w:t>sevī ietver</w:t>
            </w:r>
            <w:r w:rsidR="00DB2F93" w:rsidRPr="00DB2F93">
              <w:rPr>
                <w:rStyle w:val="normaltextrun"/>
                <w:sz w:val="22"/>
                <w:szCs w:val="22"/>
              </w:rPr>
              <w:t xml:space="preserve"> </w:t>
            </w:r>
            <w:r w:rsidR="00DE637C" w:rsidRPr="00DB2F93">
              <w:rPr>
                <w:rStyle w:val="normaltextrun"/>
                <w:sz w:val="22"/>
                <w:szCs w:val="22"/>
              </w:rPr>
              <w:t xml:space="preserve">uz </w:t>
            </w:r>
            <w:proofErr w:type="spellStart"/>
            <w:r w:rsidR="00C92183" w:rsidRPr="00DB2F93">
              <w:rPr>
                <w:rStyle w:val="normaltextrun"/>
                <w:sz w:val="22"/>
                <w:szCs w:val="22"/>
              </w:rPr>
              <w:t>programmdefinētas</w:t>
            </w:r>
            <w:proofErr w:type="spellEnd"/>
            <w:r w:rsidR="00DB2F93" w:rsidRPr="00DB2F93">
              <w:rPr>
                <w:rStyle w:val="normaltextrun"/>
                <w:sz w:val="22"/>
                <w:szCs w:val="22"/>
              </w:rPr>
              <w:t xml:space="preserve"> </w:t>
            </w:r>
            <w:r w:rsidR="00C92183" w:rsidRPr="00DB2F93">
              <w:rPr>
                <w:rStyle w:val="normaltextrun"/>
                <w:sz w:val="22"/>
                <w:szCs w:val="22"/>
              </w:rPr>
              <w:t>datu glabāšanas (</w:t>
            </w:r>
            <w:proofErr w:type="spellStart"/>
            <w:r w:rsidR="00C92183" w:rsidRPr="00DB2F93">
              <w:rPr>
                <w:rStyle w:val="normaltextrun"/>
                <w:sz w:val="22"/>
                <w:szCs w:val="22"/>
              </w:rPr>
              <w:t>software</w:t>
            </w:r>
            <w:proofErr w:type="spellEnd"/>
            <w:r w:rsidR="00DB2F93" w:rsidRPr="00DB2F93">
              <w:rPr>
                <w:rStyle w:val="normaltextrun"/>
                <w:sz w:val="22"/>
                <w:szCs w:val="22"/>
              </w:rPr>
              <w:t xml:space="preserve"> </w:t>
            </w:r>
            <w:proofErr w:type="spellStart"/>
            <w:r w:rsidR="00C92183" w:rsidRPr="00DB2F93">
              <w:rPr>
                <w:rStyle w:val="normaltextrun"/>
                <w:sz w:val="22"/>
                <w:szCs w:val="22"/>
              </w:rPr>
              <w:t>defined</w:t>
            </w:r>
            <w:proofErr w:type="spellEnd"/>
            <w:r w:rsidR="00DB2F93" w:rsidRPr="00DB2F93">
              <w:rPr>
                <w:rStyle w:val="normaltextrun"/>
                <w:sz w:val="22"/>
                <w:szCs w:val="22"/>
              </w:rPr>
              <w:t xml:space="preserve"> </w:t>
            </w:r>
            <w:proofErr w:type="spellStart"/>
            <w:r w:rsidR="00C92183" w:rsidRPr="00DB2F93">
              <w:rPr>
                <w:rStyle w:val="normaltextrun"/>
                <w:sz w:val="22"/>
                <w:szCs w:val="22"/>
              </w:rPr>
              <w:t>storage</w:t>
            </w:r>
            <w:proofErr w:type="spellEnd"/>
            <w:r w:rsidR="00C92183" w:rsidRPr="00DB2F93">
              <w:rPr>
                <w:rStyle w:val="normaltextrun"/>
                <w:sz w:val="22"/>
                <w:szCs w:val="22"/>
              </w:rPr>
              <w:t>) principiem bāzēt</w:t>
            </w:r>
            <w:r w:rsidR="002D6474" w:rsidRPr="00DB2F93">
              <w:rPr>
                <w:rStyle w:val="normaltextrun"/>
                <w:sz w:val="22"/>
                <w:szCs w:val="22"/>
              </w:rPr>
              <w:t>u</w:t>
            </w:r>
            <w:r w:rsidR="00C92183" w:rsidRPr="00DB2F93">
              <w:rPr>
                <w:rStyle w:val="normaltextrun"/>
                <w:sz w:val="22"/>
                <w:szCs w:val="22"/>
              </w:rPr>
              <w:t xml:space="preserve"> video datu glabāšanas apakšsistēm</w:t>
            </w:r>
            <w:r w:rsidR="002D6474" w:rsidRPr="00DB2F93">
              <w:rPr>
                <w:rStyle w:val="normaltextrun"/>
                <w:sz w:val="22"/>
                <w:szCs w:val="22"/>
              </w:rPr>
              <w:t>u</w:t>
            </w:r>
            <w:r w:rsidR="00DE637C" w:rsidRPr="00DB2F93">
              <w:rPr>
                <w:rStyle w:val="normaltextrun"/>
                <w:sz w:val="22"/>
                <w:szCs w:val="22"/>
              </w:rPr>
              <w:t xml:space="preserve">, </w:t>
            </w:r>
            <w:r w:rsidR="00C92183" w:rsidRPr="00DB2F93">
              <w:rPr>
                <w:rStyle w:val="normaltextrun"/>
                <w:sz w:val="22"/>
                <w:szCs w:val="22"/>
              </w:rPr>
              <w:t xml:space="preserve">izmantojot NAS risinājuma struktūru </w:t>
            </w:r>
            <w:r w:rsidR="001C0C03" w:rsidRPr="00DB2F93">
              <w:rPr>
                <w:rStyle w:val="normaltextrun"/>
                <w:sz w:val="22"/>
                <w:szCs w:val="22"/>
              </w:rPr>
              <w:t>un</w:t>
            </w:r>
            <w:r w:rsidR="00503A2C" w:rsidRPr="00DB2F93">
              <w:rPr>
                <w:rStyle w:val="normaltextrun"/>
                <w:sz w:val="22"/>
                <w:szCs w:val="22"/>
              </w:rPr>
              <w:t xml:space="preserve"> </w:t>
            </w:r>
            <w:r w:rsidR="00C92183" w:rsidRPr="00DB2F93">
              <w:rPr>
                <w:rStyle w:val="normaltextrun"/>
                <w:sz w:val="22"/>
                <w:szCs w:val="22"/>
              </w:rPr>
              <w:t>nodrošinot video datu glabāšanu un arhivēšanu. Video ierakstu datu glabāšanas sistēma sastāv no vismaz 4 (četriem) identiskiem video datu glabāšanas mezgliem. </w:t>
            </w:r>
          </w:p>
          <w:p w14:paraId="26988EBE" w14:textId="77777777" w:rsidR="00C92183" w:rsidRPr="00DB2F93" w:rsidRDefault="00C92183" w:rsidP="00DB2F93">
            <w:pPr>
              <w:pStyle w:val="paragraph"/>
              <w:spacing w:before="0" w:beforeAutospacing="0" w:after="0" w:afterAutospacing="0"/>
              <w:textAlignment w:val="baseline"/>
              <w:rPr>
                <w:rStyle w:val="normaltextrun"/>
                <w:sz w:val="22"/>
                <w:szCs w:val="22"/>
              </w:rPr>
            </w:pPr>
            <w:r w:rsidRPr="00DB2F93">
              <w:rPr>
                <w:rStyle w:val="normaltextrun"/>
                <w:sz w:val="22"/>
                <w:szCs w:val="22"/>
              </w:rPr>
              <w:t> </w:t>
            </w:r>
          </w:p>
          <w:p w14:paraId="45A8E14B" w14:textId="48CA11C4" w:rsidR="00C92183" w:rsidRPr="00DB2F93" w:rsidRDefault="00C92183" w:rsidP="00DB2F93">
            <w:pPr>
              <w:pStyle w:val="paragraph"/>
              <w:spacing w:before="0" w:beforeAutospacing="0" w:after="0" w:afterAutospacing="0"/>
              <w:textAlignment w:val="baseline"/>
              <w:rPr>
                <w:rStyle w:val="normaltextrun"/>
                <w:sz w:val="22"/>
                <w:szCs w:val="22"/>
              </w:rPr>
            </w:pPr>
            <w:r w:rsidRPr="00DB2F93">
              <w:rPr>
                <w:rStyle w:val="normaltextrun"/>
                <w:sz w:val="22"/>
                <w:szCs w:val="22"/>
              </w:rPr>
              <w:t>Visa HCI platformas</w:t>
            </w:r>
            <w:r w:rsidR="00DB2F93" w:rsidRPr="00DB2F93">
              <w:rPr>
                <w:rStyle w:val="normaltextrun"/>
                <w:sz w:val="22"/>
                <w:szCs w:val="22"/>
              </w:rPr>
              <w:t xml:space="preserve"> </w:t>
            </w:r>
            <w:r w:rsidRPr="00DB2F93">
              <w:rPr>
                <w:rStyle w:val="normaltextrun"/>
                <w:sz w:val="22"/>
                <w:szCs w:val="22"/>
              </w:rPr>
              <w:t>papildu komponente</w:t>
            </w:r>
            <w:r w:rsidR="00DB2F93" w:rsidRPr="00DB2F93">
              <w:rPr>
                <w:rStyle w:val="normaltextrun"/>
                <w:sz w:val="22"/>
                <w:szCs w:val="22"/>
              </w:rPr>
              <w:t xml:space="preserve"> </w:t>
            </w:r>
            <w:r w:rsidRPr="00DB2F93">
              <w:rPr>
                <w:rStyle w:val="normaltextrun"/>
                <w:sz w:val="22"/>
                <w:szCs w:val="22"/>
              </w:rPr>
              <w:t>uzskatāma par vienotu</w:t>
            </w:r>
            <w:r w:rsidR="00DB2F93" w:rsidRPr="00DB2F93">
              <w:rPr>
                <w:rStyle w:val="normaltextrun"/>
                <w:sz w:val="22"/>
                <w:szCs w:val="22"/>
              </w:rPr>
              <w:t xml:space="preserve"> </w:t>
            </w:r>
            <w:r w:rsidRPr="00DB2F93">
              <w:rPr>
                <w:rStyle w:val="normaltextrun"/>
                <w:sz w:val="22"/>
                <w:szCs w:val="22"/>
              </w:rPr>
              <w:t>apakšsistēmu, kas sastāv no 4 vai vairāk datu glabāšanas</w:t>
            </w:r>
            <w:r w:rsidR="00DB2F93" w:rsidRPr="00DB2F93">
              <w:rPr>
                <w:rStyle w:val="normaltextrun"/>
                <w:sz w:val="22"/>
                <w:szCs w:val="22"/>
              </w:rPr>
              <w:t xml:space="preserve"> </w:t>
            </w:r>
            <w:r w:rsidRPr="00DB2F93">
              <w:rPr>
                <w:rStyle w:val="normaltextrun"/>
                <w:sz w:val="22"/>
                <w:szCs w:val="22"/>
              </w:rPr>
              <w:t xml:space="preserve"> mezgliem. HCI papildus komponente tiek savienota ar HCI platformu (visiem tās skaitļošanas mezgliem), </w:t>
            </w:r>
            <w:r w:rsidRPr="00DB2F93">
              <w:rPr>
                <w:rStyle w:val="normaltextrun"/>
                <w:sz w:val="22"/>
                <w:szCs w:val="22"/>
              </w:rPr>
              <w:lastRenderedPageBreak/>
              <w:t>izmantojot</w:t>
            </w:r>
            <w:r w:rsidR="00DB2F93" w:rsidRPr="00DB2F93">
              <w:rPr>
                <w:rStyle w:val="normaltextrun"/>
                <w:sz w:val="22"/>
                <w:szCs w:val="22"/>
              </w:rPr>
              <w:t xml:space="preserve"> </w:t>
            </w:r>
            <w:r w:rsidRPr="00DB2F93">
              <w:rPr>
                <w:rStyle w:val="normaltextrun"/>
                <w:sz w:val="22"/>
                <w:szCs w:val="22"/>
              </w:rPr>
              <w:t xml:space="preserve">Tabulā Nr.1 minēto komutatoru </w:t>
            </w:r>
            <w:proofErr w:type="spellStart"/>
            <w:r w:rsidRPr="00DB2F93">
              <w:rPr>
                <w:rStyle w:val="normaltextrun"/>
                <w:sz w:val="22"/>
                <w:szCs w:val="22"/>
              </w:rPr>
              <w:t>kl</w:t>
            </w:r>
            <w:r w:rsidR="002B4F7A" w:rsidRPr="00DB2F93">
              <w:rPr>
                <w:rStyle w:val="normaltextrun"/>
                <w:sz w:val="22"/>
                <w:szCs w:val="22"/>
              </w:rPr>
              <w:t>ā</w:t>
            </w:r>
            <w:r w:rsidRPr="00DB2F93">
              <w:rPr>
                <w:rStyle w:val="normaltextrun"/>
                <w:sz w:val="22"/>
                <w:szCs w:val="22"/>
              </w:rPr>
              <w:t>steri</w:t>
            </w:r>
            <w:proofErr w:type="spellEnd"/>
            <w:r w:rsidR="00DB2F93" w:rsidRPr="00DB2F93">
              <w:rPr>
                <w:rStyle w:val="normaltextrun"/>
                <w:sz w:val="22"/>
                <w:szCs w:val="22"/>
              </w:rPr>
              <w:t xml:space="preserve"> </w:t>
            </w:r>
            <w:r w:rsidRPr="00DB2F93">
              <w:rPr>
                <w:rStyle w:val="normaltextrun"/>
                <w:sz w:val="22"/>
                <w:szCs w:val="22"/>
              </w:rPr>
              <w:t>rezervētā</w:t>
            </w:r>
            <w:r w:rsidR="00DB2F93" w:rsidRPr="00DB2F93">
              <w:rPr>
                <w:rStyle w:val="normaltextrun"/>
                <w:sz w:val="22"/>
                <w:szCs w:val="22"/>
              </w:rPr>
              <w:t xml:space="preserve"> </w:t>
            </w:r>
            <w:r w:rsidRPr="00DB2F93">
              <w:rPr>
                <w:rStyle w:val="normaltextrun"/>
                <w:sz w:val="22"/>
                <w:szCs w:val="22"/>
              </w:rPr>
              <w:t>slēgum</w:t>
            </w:r>
            <w:r w:rsidR="002B4F7A" w:rsidRPr="00DB2F93">
              <w:rPr>
                <w:rStyle w:val="normaltextrun"/>
                <w:sz w:val="22"/>
                <w:szCs w:val="22"/>
              </w:rPr>
              <w:t>ā</w:t>
            </w:r>
            <w:r w:rsidRPr="00DB2F93">
              <w:rPr>
                <w:rStyle w:val="normaltextrun"/>
                <w:sz w:val="22"/>
                <w:szCs w:val="22"/>
              </w:rPr>
              <w:t>.  </w:t>
            </w:r>
          </w:p>
          <w:p w14:paraId="2B748591" w14:textId="77777777" w:rsidR="00A82B9D" w:rsidRPr="00DB2F93" w:rsidRDefault="00A82B9D" w:rsidP="00DB2F93">
            <w:pPr>
              <w:rPr>
                <w:rFonts w:ascii="Times New Roman" w:eastAsia="Calibri" w:hAnsi="Times New Roman" w:cs="Times New Roman"/>
                <w:sz w:val="22"/>
                <w:lang w:eastAsia="en-US"/>
              </w:rPr>
            </w:pPr>
          </w:p>
          <w:p w14:paraId="75D992E7" w14:textId="77777777" w:rsidR="00267F9E" w:rsidRPr="00DB2F93" w:rsidRDefault="00267F9E" w:rsidP="00DB2F93">
            <w:pPr>
              <w:rPr>
                <w:rFonts w:ascii="Times New Roman" w:hAnsi="Times New Roman" w:cs="Times New Roman"/>
                <w:i/>
                <w:iCs/>
                <w:sz w:val="22"/>
              </w:rPr>
            </w:pPr>
          </w:p>
          <w:p w14:paraId="07C966E5" w14:textId="6B03C521" w:rsidR="00C83A79" w:rsidRPr="00DB2F93" w:rsidRDefault="00C83A79" w:rsidP="00DB2F93">
            <w:pPr>
              <w:rPr>
                <w:rFonts w:ascii="Times New Roman" w:eastAsia="Calibri" w:hAnsi="Times New Roman" w:cs="Times New Roman"/>
                <w:sz w:val="22"/>
                <w:lang w:eastAsia="en-US"/>
              </w:rPr>
            </w:pPr>
          </w:p>
        </w:tc>
      </w:tr>
      <w:tr w:rsidR="00DE06AA" w:rsidRPr="00DB2F93" w14:paraId="088E6D01" w14:textId="77777777" w:rsidTr="00DB2F93">
        <w:trPr>
          <w:trHeight w:val="584"/>
          <w:jc w:val="center"/>
        </w:trPr>
        <w:tc>
          <w:tcPr>
            <w:tcW w:w="890" w:type="dxa"/>
            <w:shd w:val="clear" w:color="auto" w:fill="auto"/>
          </w:tcPr>
          <w:p w14:paraId="5B7BD03A" w14:textId="77777777" w:rsidR="00DE06AA" w:rsidRPr="00DB2F93" w:rsidRDefault="00DE06AA"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lastRenderedPageBreak/>
              <w:t>4.</w:t>
            </w:r>
          </w:p>
        </w:tc>
        <w:tc>
          <w:tcPr>
            <w:tcW w:w="5027" w:type="dxa"/>
            <w:shd w:val="clear" w:color="auto" w:fill="auto"/>
          </w:tcPr>
          <w:p w14:paraId="6022F069"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Iepirkuma tehniskās specifikācijas dokumentā “IV Sējums – IT infrastruktūras prasības” tabulas “3.5. Video ierakstu datu glabāšanas sistēma – HCI platformas papildus komponente” punktā “Mezglu skaits” tiek jautāta sekojoša prasība: </w:t>
            </w:r>
          </w:p>
          <w:p w14:paraId="376DE4DB"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“HCI platformas papildu komponentes video datu glabāšanas sistēmas kopējam mezglu skaitam jābūt vismaz 4, mezglu kopējais CPU kodolu apjoms ir vismaz 40. Visu mezglu konfigurācijai jābūt identiskai”. </w:t>
            </w:r>
          </w:p>
          <w:p w14:paraId="0DF170F1"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No šīs prasības izriet, ka katram mezglam ir jābūt aprīkotam ar vienu 10 kodolu procesoru. </w:t>
            </w:r>
          </w:p>
          <w:p w14:paraId="028676B1"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Savukārt iepirkuma tehniskās specifikācijas dokumentā “PIELIKUMI” tabulā “Iepirkuma identifikācijas Nr. LDZ 2021/7-IB -1.pielikums” tiek prasīts sekojošais: </w:t>
            </w:r>
          </w:p>
          <w:p w14:paraId="7B840D0F"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“Video ierakstu datu glabāšanas sistēma (HCI platformas </w:t>
            </w:r>
            <w:proofErr w:type="spellStart"/>
            <w:r w:rsidRPr="00DB2F93">
              <w:rPr>
                <w:rFonts w:ascii="Times New Roman" w:hAnsi="Times New Roman" w:cs="Times New Roman"/>
                <w:i/>
                <w:iCs/>
                <w:sz w:val="22"/>
                <w:szCs w:val="22"/>
              </w:rPr>
              <w:t>papildkomponente</w:t>
            </w:r>
            <w:proofErr w:type="spellEnd"/>
            <w:r w:rsidRPr="00DB2F93">
              <w:rPr>
                <w:rFonts w:ascii="Times New Roman" w:hAnsi="Times New Roman" w:cs="Times New Roman"/>
                <w:i/>
                <w:iCs/>
                <w:sz w:val="22"/>
                <w:szCs w:val="22"/>
              </w:rPr>
              <w:t xml:space="preserve">) (2 x 16C CPU, 128GB RAM, 7TB SSD, 336TB HDD)”. </w:t>
            </w:r>
          </w:p>
          <w:p w14:paraId="13F5F177"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No šīs prasības izriet, ka katram mezglam ir jābūt aprīkotam ar diviem 16 kodolu procesoriem. </w:t>
            </w:r>
          </w:p>
          <w:p w14:paraId="37F01969" w14:textId="5D3D13C2" w:rsidR="00DE06AA" w:rsidRPr="00DB2F93" w:rsidRDefault="00DE06AA" w:rsidP="00DB2F93">
            <w:pPr>
              <w:rPr>
                <w:rFonts w:ascii="Times New Roman" w:hAnsi="Times New Roman" w:cs="Times New Roman"/>
                <w:color w:val="000000"/>
                <w:sz w:val="22"/>
              </w:rPr>
            </w:pPr>
            <w:r w:rsidRPr="00DB2F93">
              <w:rPr>
                <w:rFonts w:ascii="Times New Roman" w:hAnsi="Times New Roman" w:cs="Times New Roman"/>
                <w:sz w:val="22"/>
              </w:rPr>
              <w:t>Rezultātā sanāk, ka “HCI platformas papildu komponentei” dažādos tehniskās specifikācijas dokumentos tiek definētas dažādas prasības, un nav skaidrs, kuru no prasībām uzskatīt par pareizo veidojot HCI risinājuma konfigurāciju. Lūdzam precizēt.</w:t>
            </w:r>
          </w:p>
        </w:tc>
        <w:tc>
          <w:tcPr>
            <w:tcW w:w="4360" w:type="dxa"/>
            <w:shd w:val="clear" w:color="auto" w:fill="auto"/>
          </w:tcPr>
          <w:p w14:paraId="5FAB74F5" w14:textId="190C1DAF" w:rsidR="00DE06AA" w:rsidRDefault="008835CB" w:rsidP="00DB2F93">
            <w:pPr>
              <w:rPr>
                <w:rFonts w:ascii="Times New Roman" w:hAnsi="Times New Roman" w:cs="Times New Roman"/>
                <w:i/>
                <w:iCs/>
                <w:sz w:val="22"/>
              </w:rPr>
            </w:pPr>
            <w:r w:rsidRPr="00DB2F93">
              <w:rPr>
                <w:rFonts w:ascii="Times New Roman" w:eastAsia="Calibri" w:hAnsi="Times New Roman" w:cs="Times New Roman"/>
                <w:sz w:val="22"/>
                <w:lang w:eastAsia="en-US"/>
              </w:rPr>
              <w:t xml:space="preserve">Precizējam, ka </w:t>
            </w:r>
            <w:r w:rsidR="00744731" w:rsidRPr="00DB2F93">
              <w:rPr>
                <w:rFonts w:ascii="Times New Roman" w:eastAsia="Calibri" w:hAnsi="Times New Roman" w:cs="Times New Roman"/>
                <w:sz w:val="22"/>
                <w:lang w:eastAsia="en-US"/>
              </w:rPr>
              <w:t xml:space="preserve">IV sējumā </w:t>
            </w:r>
            <w:r w:rsidR="00744731" w:rsidRPr="00323DEF">
              <w:rPr>
                <w:rFonts w:ascii="Times New Roman" w:eastAsia="Calibri" w:hAnsi="Times New Roman" w:cs="Times New Roman"/>
                <w:sz w:val="22"/>
                <w:lang w:eastAsia="en-US"/>
              </w:rPr>
              <w:t>3.5</w:t>
            </w:r>
            <w:r w:rsidR="00581226">
              <w:rPr>
                <w:rFonts w:ascii="Times New Roman" w:eastAsia="Calibri" w:hAnsi="Times New Roman" w:cs="Times New Roman"/>
                <w:sz w:val="22"/>
                <w:lang w:eastAsia="en-US"/>
              </w:rPr>
              <w:t xml:space="preserve"> </w:t>
            </w:r>
            <w:r w:rsidR="00744731" w:rsidRPr="00581226">
              <w:rPr>
                <w:rFonts w:ascii="Times New Roman" w:hAnsi="Times New Roman" w:cs="Times New Roman"/>
              </w:rPr>
              <w:t>“</w:t>
            </w:r>
            <w:r w:rsidR="00744731" w:rsidRPr="00581226">
              <w:rPr>
                <w:rFonts w:ascii="Times New Roman" w:hAnsi="Times New Roman" w:cs="Times New Roman"/>
                <w:sz w:val="22"/>
              </w:rPr>
              <w:t>Video ierakstu datu glabāšanas sistēma – HCI platformas papildus komponente</w:t>
            </w:r>
            <w:r w:rsidR="00744731" w:rsidRPr="00581226">
              <w:rPr>
                <w:rFonts w:ascii="Times New Roman" w:hAnsi="Times New Roman" w:cs="Times New Roman"/>
                <w:i/>
                <w:iCs/>
                <w:sz w:val="22"/>
              </w:rPr>
              <w:t>”</w:t>
            </w:r>
            <w:r w:rsidR="00744731" w:rsidRPr="00581226">
              <w:rPr>
                <w:rFonts w:ascii="Times New Roman" w:eastAsia="Calibri" w:hAnsi="Times New Roman" w:cs="Times New Roman"/>
                <w:sz w:val="22"/>
                <w:lang w:eastAsia="en-US"/>
              </w:rPr>
              <w:t xml:space="preserve"> tabulā Nr.6 ir precīzi norādītas</w:t>
            </w:r>
            <w:r w:rsidR="00DE06AA" w:rsidRPr="00581226">
              <w:rPr>
                <w:rFonts w:ascii="Times New Roman" w:eastAsia="Calibri" w:hAnsi="Times New Roman" w:cs="Times New Roman"/>
                <w:sz w:val="22"/>
                <w:lang w:eastAsia="en-US"/>
              </w:rPr>
              <w:t xml:space="preserve"> video ierakstu datu glabāšanas</w:t>
            </w:r>
            <w:r w:rsidR="00DE06AA" w:rsidRPr="00DB2F93">
              <w:rPr>
                <w:rFonts w:ascii="Times New Roman" w:eastAsia="Calibri" w:hAnsi="Times New Roman" w:cs="Times New Roman"/>
                <w:sz w:val="22"/>
                <w:lang w:eastAsia="en-US"/>
              </w:rPr>
              <w:t xml:space="preserve"> sistēmas (HCI platformas </w:t>
            </w:r>
            <w:proofErr w:type="spellStart"/>
            <w:r w:rsidR="00DE06AA" w:rsidRPr="00DB2F93">
              <w:rPr>
                <w:rFonts w:ascii="Times New Roman" w:eastAsia="Calibri" w:hAnsi="Times New Roman" w:cs="Times New Roman"/>
                <w:sz w:val="22"/>
                <w:lang w:eastAsia="en-US"/>
              </w:rPr>
              <w:t>papildkomponentes</w:t>
            </w:r>
            <w:proofErr w:type="spellEnd"/>
            <w:r w:rsidR="00DE06AA" w:rsidRPr="00DB2F93">
              <w:rPr>
                <w:rFonts w:ascii="Times New Roman" w:eastAsia="Calibri" w:hAnsi="Times New Roman" w:cs="Times New Roman"/>
                <w:sz w:val="22"/>
                <w:lang w:eastAsia="en-US"/>
              </w:rPr>
              <w:t xml:space="preserve">) </w:t>
            </w:r>
            <w:r w:rsidR="00F96301" w:rsidRPr="00DB2F93">
              <w:rPr>
                <w:rFonts w:ascii="Times New Roman" w:eastAsia="Calibri" w:hAnsi="Times New Roman" w:cs="Times New Roman"/>
                <w:sz w:val="22"/>
                <w:lang w:eastAsia="en-US"/>
              </w:rPr>
              <w:t xml:space="preserve">- </w:t>
            </w:r>
            <w:r w:rsidR="00DE06AA" w:rsidRPr="00DB2F93">
              <w:rPr>
                <w:rFonts w:ascii="Times New Roman" w:eastAsia="Calibri" w:hAnsi="Times New Roman" w:cs="Times New Roman"/>
                <w:sz w:val="22"/>
                <w:lang w:eastAsia="en-US"/>
              </w:rPr>
              <w:t>katram mezglam ir jānodrošina vismaz  viens 10 procesoru kodols, vismaz 128GB operatīvā atmiņa, vismaz 7TB summārā ietilpība uz SSD un vismaz 336TB summārā ietilpība uz HDD”</w:t>
            </w:r>
            <w:r w:rsidR="001E5F18" w:rsidRPr="00DB2F93">
              <w:rPr>
                <w:rFonts w:ascii="Times New Roman" w:eastAsia="Calibri" w:hAnsi="Times New Roman" w:cs="Times New Roman"/>
                <w:sz w:val="22"/>
                <w:lang w:eastAsia="en-US"/>
              </w:rPr>
              <w:t xml:space="preserve"> un precizējam </w:t>
            </w:r>
            <w:r w:rsidR="001E5F18" w:rsidRPr="00DB2F93">
              <w:rPr>
                <w:rFonts w:ascii="Times New Roman" w:hAnsi="Times New Roman" w:cs="Times New Roman"/>
                <w:sz w:val="22"/>
              </w:rPr>
              <w:t>“Iepirkuma identifikācijas Nr. LDZ 2021/7-IB -</w:t>
            </w:r>
            <w:r w:rsidR="00DB2F93" w:rsidRPr="00DB2F93">
              <w:rPr>
                <w:rFonts w:ascii="Times New Roman" w:hAnsi="Times New Roman" w:cs="Times New Roman"/>
                <w:sz w:val="22"/>
              </w:rPr>
              <w:t xml:space="preserve"> </w:t>
            </w:r>
            <w:r w:rsidR="001E5F18" w:rsidRPr="00DB2F93">
              <w:rPr>
                <w:rFonts w:ascii="Times New Roman" w:hAnsi="Times New Roman" w:cs="Times New Roman"/>
                <w:sz w:val="22"/>
              </w:rPr>
              <w:t xml:space="preserve">1.pielikums” </w:t>
            </w:r>
            <w:r w:rsidR="00B104BD" w:rsidRPr="00DB2F93">
              <w:rPr>
                <w:rFonts w:ascii="Times New Roman" w:hAnsi="Times New Roman" w:cs="Times New Roman"/>
                <w:sz w:val="22"/>
              </w:rPr>
              <w:t>rindu</w:t>
            </w:r>
            <w:r w:rsidR="00BD20A7" w:rsidRPr="00DB2F93">
              <w:rPr>
                <w:rFonts w:ascii="Times New Roman" w:hAnsi="Times New Roman" w:cs="Times New Roman"/>
                <w:sz w:val="22"/>
              </w:rPr>
              <w:t xml:space="preserve">: </w:t>
            </w:r>
            <w:r w:rsidR="00BD20A7" w:rsidRPr="00DB2F93">
              <w:rPr>
                <w:rFonts w:ascii="Times New Roman" w:hAnsi="Times New Roman" w:cs="Times New Roman"/>
                <w:i/>
                <w:iCs/>
                <w:sz w:val="22"/>
              </w:rPr>
              <w:t xml:space="preserve">Video ierakstu datu glabāšanas sistēma (HCI platformas </w:t>
            </w:r>
            <w:proofErr w:type="spellStart"/>
            <w:r w:rsidR="00BD20A7" w:rsidRPr="00DB2F93">
              <w:rPr>
                <w:rFonts w:ascii="Times New Roman" w:hAnsi="Times New Roman" w:cs="Times New Roman"/>
                <w:i/>
                <w:iCs/>
                <w:sz w:val="22"/>
              </w:rPr>
              <w:t>papildkomponente</w:t>
            </w:r>
            <w:proofErr w:type="spellEnd"/>
            <w:r w:rsidR="00BD20A7" w:rsidRPr="00DB2F93">
              <w:rPr>
                <w:rFonts w:ascii="Times New Roman" w:hAnsi="Times New Roman" w:cs="Times New Roman"/>
                <w:i/>
                <w:iCs/>
                <w:sz w:val="22"/>
              </w:rPr>
              <w:t xml:space="preserve">) (2 x </w:t>
            </w:r>
            <w:r w:rsidR="00BD20A7" w:rsidRPr="00907212">
              <w:rPr>
                <w:rFonts w:ascii="Times New Roman" w:hAnsi="Times New Roman" w:cs="Times New Roman"/>
                <w:i/>
                <w:iCs/>
              </w:rPr>
              <w:t>10</w:t>
            </w:r>
            <w:r w:rsidR="00BD20A7" w:rsidRPr="00AA44A7">
              <w:rPr>
                <w:rFonts w:ascii="Times New Roman" w:hAnsi="Times New Roman" w:cs="Times New Roman"/>
                <w:i/>
                <w:iCs/>
                <w:sz w:val="22"/>
              </w:rPr>
              <w:t>C CPU, 128GB RAM, 7TB SSD, 336TB HDD)”</w:t>
            </w:r>
          </w:p>
          <w:p w14:paraId="195FCB26" w14:textId="77777777" w:rsidR="00737E0A" w:rsidRDefault="00737E0A" w:rsidP="00DB2F93">
            <w:pPr>
              <w:rPr>
                <w:rFonts w:ascii="Times New Roman" w:eastAsia="Calibri" w:hAnsi="Times New Roman" w:cs="Times New Roman"/>
                <w:i/>
                <w:iCs/>
                <w:sz w:val="22"/>
              </w:rPr>
            </w:pPr>
          </w:p>
          <w:p w14:paraId="110BB0E8" w14:textId="4FB2CC98" w:rsidR="00737E0A" w:rsidRPr="00DB2F93" w:rsidRDefault="00737E0A" w:rsidP="00DB2F93">
            <w:pPr>
              <w:rPr>
                <w:rFonts w:ascii="Times New Roman" w:eastAsia="Calibri" w:hAnsi="Times New Roman" w:cs="Times New Roman"/>
                <w:sz w:val="22"/>
                <w:lang w:eastAsia="en-US"/>
              </w:rPr>
            </w:pPr>
          </w:p>
        </w:tc>
      </w:tr>
      <w:tr w:rsidR="00DE06AA" w:rsidRPr="00DB2F93" w14:paraId="7136C70E" w14:textId="77777777" w:rsidTr="164C133D">
        <w:trPr>
          <w:trHeight w:val="1441"/>
          <w:jc w:val="center"/>
        </w:trPr>
        <w:tc>
          <w:tcPr>
            <w:tcW w:w="890" w:type="dxa"/>
            <w:shd w:val="clear" w:color="auto" w:fill="auto"/>
          </w:tcPr>
          <w:p w14:paraId="5AF88618" w14:textId="77777777" w:rsidR="00DE06AA" w:rsidRPr="00DB2F93" w:rsidRDefault="00DE06AA"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5.</w:t>
            </w:r>
          </w:p>
        </w:tc>
        <w:tc>
          <w:tcPr>
            <w:tcW w:w="5027" w:type="dxa"/>
            <w:shd w:val="clear" w:color="auto" w:fill="auto"/>
          </w:tcPr>
          <w:p w14:paraId="0B3D328B" w14:textId="1294CF9F" w:rsidR="00DE06AA" w:rsidRPr="00DB2F93" w:rsidRDefault="00DE06AA" w:rsidP="00DB2F93">
            <w:pPr>
              <w:rPr>
                <w:rFonts w:ascii="Times New Roman" w:hAnsi="Times New Roman" w:cs="Times New Roman"/>
                <w:color w:val="000000"/>
                <w:sz w:val="22"/>
              </w:rPr>
            </w:pPr>
            <w:r w:rsidRPr="00DB2F93">
              <w:rPr>
                <w:rFonts w:ascii="Times New Roman" w:hAnsi="Times New Roman" w:cs="Times New Roman"/>
                <w:sz w:val="22"/>
              </w:rPr>
              <w:t xml:space="preserve">Vai pareizi tiek saprasts, ka iepirkuma tehniskās specifikācijas dokumenta “IV Sējums – IT infrastruktūras prasības” tabulā “3.3. Serveru virtualizācijas platformas nodrošinājums” sekojoša prasība ir jānodrošina VNS (Videonovērošanas sistēmas) risinājumam (piemēram, BOSCH), un visas pārējās, kas šeit nav minētas – serveru virtualizācijas platformas risinājumam (piemēram, </w:t>
            </w:r>
            <w:proofErr w:type="spellStart"/>
            <w:r w:rsidRPr="00DB2F93">
              <w:rPr>
                <w:rFonts w:ascii="Times New Roman" w:hAnsi="Times New Roman" w:cs="Times New Roman"/>
                <w:sz w:val="22"/>
              </w:rPr>
              <w:t>Nutanix</w:t>
            </w:r>
            <w:proofErr w:type="spellEnd"/>
            <w:r w:rsidRPr="00DB2F93">
              <w:rPr>
                <w:rFonts w:ascii="Times New Roman" w:hAnsi="Times New Roman" w:cs="Times New Roman"/>
                <w:sz w:val="22"/>
              </w:rPr>
              <w:t xml:space="preserve"> AHV, </w:t>
            </w:r>
            <w:proofErr w:type="spellStart"/>
            <w:r w:rsidRPr="00DB2F93">
              <w:rPr>
                <w:rFonts w:ascii="Times New Roman" w:hAnsi="Times New Roman" w:cs="Times New Roman"/>
                <w:sz w:val="22"/>
              </w:rPr>
              <w:t>VMware</w:t>
            </w:r>
            <w:proofErr w:type="spellEnd"/>
            <w:r w:rsidRPr="00DB2F93">
              <w:rPr>
                <w:rFonts w:ascii="Times New Roman" w:hAnsi="Times New Roman" w:cs="Times New Roman"/>
                <w:sz w:val="22"/>
              </w:rPr>
              <w:t xml:space="preserve"> </w:t>
            </w:r>
            <w:proofErr w:type="spellStart"/>
            <w:r w:rsidRPr="00DB2F93">
              <w:rPr>
                <w:rFonts w:ascii="Times New Roman" w:hAnsi="Times New Roman" w:cs="Times New Roman"/>
                <w:sz w:val="22"/>
              </w:rPr>
              <w:t>ESXi</w:t>
            </w:r>
            <w:proofErr w:type="spellEnd"/>
            <w:r w:rsidRPr="00DB2F93">
              <w:rPr>
                <w:rFonts w:ascii="Times New Roman" w:hAnsi="Times New Roman" w:cs="Times New Roman"/>
                <w:sz w:val="22"/>
              </w:rPr>
              <w:t xml:space="preserve"> vai Microsoft </w:t>
            </w:r>
            <w:proofErr w:type="spellStart"/>
            <w:r w:rsidRPr="00DB2F93">
              <w:rPr>
                <w:rFonts w:ascii="Times New Roman" w:hAnsi="Times New Roman" w:cs="Times New Roman"/>
                <w:sz w:val="22"/>
              </w:rPr>
              <w:t>Hyper</w:t>
            </w:r>
            <w:proofErr w:type="spellEnd"/>
            <w:r w:rsidRPr="00DB2F93">
              <w:rPr>
                <w:rFonts w:ascii="Times New Roman" w:hAnsi="Times New Roman" w:cs="Times New Roman"/>
                <w:sz w:val="22"/>
              </w:rPr>
              <w:t>-V)?</w:t>
            </w:r>
          </w:p>
        </w:tc>
        <w:tc>
          <w:tcPr>
            <w:tcW w:w="4360" w:type="dxa"/>
            <w:shd w:val="clear" w:color="auto" w:fill="auto"/>
          </w:tcPr>
          <w:p w14:paraId="49AD199C" w14:textId="10E1BB3D" w:rsidR="00630F54" w:rsidRPr="00907212" w:rsidRDefault="0000602B" w:rsidP="00DB2F93">
            <w:pPr>
              <w:rPr>
                <w:rFonts w:ascii="Times New Roman" w:hAnsi="Times New Roman" w:cs="Times New Roman"/>
                <w:sz w:val="22"/>
              </w:rPr>
            </w:pPr>
            <w:r w:rsidRPr="00907212">
              <w:rPr>
                <w:rFonts w:ascii="Times New Roman" w:hAnsi="Times New Roman" w:cs="Times New Roman"/>
                <w:sz w:val="22"/>
              </w:rPr>
              <w:t xml:space="preserve">Skaidrojam, ka </w:t>
            </w:r>
            <w:r w:rsidR="009D2B2C" w:rsidRPr="00907212">
              <w:rPr>
                <w:rFonts w:ascii="Times New Roman" w:hAnsi="Times New Roman" w:cs="Times New Roman"/>
                <w:sz w:val="22"/>
              </w:rPr>
              <w:t xml:space="preserve">VIAS un </w:t>
            </w:r>
            <w:r w:rsidR="00791B64" w:rsidRPr="00907212">
              <w:rPr>
                <w:rFonts w:ascii="Times New Roman" w:hAnsi="Times New Roman" w:cs="Times New Roman"/>
                <w:sz w:val="22"/>
              </w:rPr>
              <w:t>VNS risinājum</w:t>
            </w:r>
            <w:r w:rsidR="009D2B2C" w:rsidRPr="00907212">
              <w:rPr>
                <w:rFonts w:ascii="Times New Roman" w:hAnsi="Times New Roman" w:cs="Times New Roman"/>
                <w:sz w:val="22"/>
              </w:rPr>
              <w:t>ie</w:t>
            </w:r>
            <w:r w:rsidR="00791B64" w:rsidRPr="00907212">
              <w:rPr>
                <w:rFonts w:ascii="Times New Roman" w:hAnsi="Times New Roman" w:cs="Times New Roman"/>
                <w:sz w:val="22"/>
              </w:rPr>
              <w:t xml:space="preserve">m </w:t>
            </w:r>
            <w:r w:rsidR="006D22B4" w:rsidRPr="00907212">
              <w:rPr>
                <w:rFonts w:ascii="Times New Roman" w:hAnsi="Times New Roman" w:cs="Times New Roman"/>
                <w:sz w:val="22"/>
              </w:rPr>
              <w:t>ir</w:t>
            </w:r>
            <w:r w:rsidRPr="00907212">
              <w:rPr>
                <w:rFonts w:ascii="Times New Roman" w:hAnsi="Times New Roman" w:cs="Times New Roman"/>
                <w:sz w:val="22"/>
              </w:rPr>
              <w:t xml:space="preserve"> </w:t>
            </w:r>
            <w:r w:rsidR="00C5788F" w:rsidRPr="00907212">
              <w:rPr>
                <w:rFonts w:ascii="Times New Roman" w:hAnsi="Times New Roman" w:cs="Times New Roman"/>
                <w:sz w:val="22"/>
              </w:rPr>
              <w:t>paredzēts izmantot virtualizācijas pl</w:t>
            </w:r>
            <w:r w:rsidR="005453F6" w:rsidRPr="00907212">
              <w:rPr>
                <w:rFonts w:ascii="Times New Roman" w:hAnsi="Times New Roman" w:cs="Times New Roman"/>
                <w:sz w:val="22"/>
              </w:rPr>
              <w:t>a</w:t>
            </w:r>
            <w:r w:rsidR="00C5788F" w:rsidRPr="00907212">
              <w:rPr>
                <w:rFonts w:ascii="Times New Roman" w:hAnsi="Times New Roman" w:cs="Times New Roman"/>
                <w:sz w:val="22"/>
              </w:rPr>
              <w:t>tform</w:t>
            </w:r>
            <w:r w:rsidR="005453F6" w:rsidRPr="00907212">
              <w:rPr>
                <w:rFonts w:ascii="Times New Roman" w:hAnsi="Times New Roman" w:cs="Times New Roman"/>
                <w:sz w:val="22"/>
              </w:rPr>
              <w:t>a</w:t>
            </w:r>
            <w:r w:rsidR="00C5788F" w:rsidRPr="00907212">
              <w:rPr>
                <w:rFonts w:ascii="Times New Roman" w:hAnsi="Times New Roman" w:cs="Times New Roman"/>
                <w:sz w:val="22"/>
              </w:rPr>
              <w:t>s nodrošinājumu</w:t>
            </w:r>
            <w:r w:rsidR="00630F54" w:rsidRPr="00907212">
              <w:rPr>
                <w:rFonts w:ascii="Times New Roman" w:hAnsi="Times New Roman" w:cs="Times New Roman"/>
                <w:sz w:val="22"/>
              </w:rPr>
              <w:t xml:space="preserve">. Papildus skatīt </w:t>
            </w:r>
            <w:r w:rsidR="00B7708F" w:rsidRPr="00907212">
              <w:rPr>
                <w:rFonts w:ascii="Times New Roman" w:hAnsi="Times New Roman" w:cs="Times New Roman"/>
                <w:sz w:val="22"/>
              </w:rPr>
              <w:t xml:space="preserve">Virtualizācijas (HCI) risinājuma arhitektūras </w:t>
            </w:r>
            <w:r w:rsidR="00907212" w:rsidRPr="00907212">
              <w:rPr>
                <w:rFonts w:ascii="Times New Roman" w:hAnsi="Times New Roman" w:cs="Times New Roman"/>
                <w:sz w:val="22"/>
              </w:rPr>
              <w:t>aprakstu</w:t>
            </w:r>
            <w:r w:rsidR="00323DEF" w:rsidRPr="00907212">
              <w:rPr>
                <w:rFonts w:ascii="Times New Roman" w:hAnsi="Times New Roman" w:cs="Times New Roman"/>
                <w:sz w:val="22"/>
              </w:rPr>
              <w:t xml:space="preserve"> </w:t>
            </w:r>
            <w:r w:rsidR="00E32E0C" w:rsidRPr="00907212">
              <w:rPr>
                <w:rFonts w:ascii="Times New Roman" w:hAnsi="Times New Roman" w:cs="Times New Roman"/>
                <w:sz w:val="22"/>
              </w:rPr>
              <w:t xml:space="preserve">šī </w:t>
            </w:r>
            <w:r w:rsidR="00B7708F" w:rsidRPr="00907212">
              <w:rPr>
                <w:rFonts w:ascii="Times New Roman" w:hAnsi="Times New Roman" w:cs="Times New Roman"/>
                <w:sz w:val="22"/>
              </w:rPr>
              <w:t>skaidrojum</w:t>
            </w:r>
            <w:r w:rsidR="00E32E0C" w:rsidRPr="00907212">
              <w:rPr>
                <w:rFonts w:ascii="Times New Roman" w:hAnsi="Times New Roman" w:cs="Times New Roman"/>
                <w:sz w:val="22"/>
              </w:rPr>
              <w:t>a</w:t>
            </w:r>
            <w:r w:rsidR="00B7708F" w:rsidRPr="00907212">
              <w:rPr>
                <w:rFonts w:ascii="Times New Roman" w:hAnsi="Times New Roman" w:cs="Times New Roman"/>
                <w:sz w:val="22"/>
              </w:rPr>
              <w:t xml:space="preserve"> 3.punktā.</w:t>
            </w:r>
          </w:p>
          <w:p w14:paraId="4190F5E9" w14:textId="6940251B" w:rsidR="009E7DC6" w:rsidRPr="00907212" w:rsidRDefault="009E7DC6" w:rsidP="00DB2F93">
            <w:pPr>
              <w:rPr>
                <w:rFonts w:ascii="Times New Roman" w:hAnsi="Times New Roman" w:cs="Times New Roman"/>
                <w:sz w:val="22"/>
              </w:rPr>
            </w:pPr>
          </w:p>
        </w:tc>
      </w:tr>
      <w:tr w:rsidR="00DE06AA" w:rsidRPr="00DB2F93" w14:paraId="4959BA19" w14:textId="77777777" w:rsidTr="164C133D">
        <w:trPr>
          <w:trHeight w:val="1441"/>
          <w:jc w:val="center"/>
        </w:trPr>
        <w:tc>
          <w:tcPr>
            <w:tcW w:w="890" w:type="dxa"/>
            <w:shd w:val="clear" w:color="auto" w:fill="auto"/>
          </w:tcPr>
          <w:p w14:paraId="5BD23BDB" w14:textId="36BF9985" w:rsidR="00DE06AA" w:rsidRPr="00DB2F93" w:rsidRDefault="00DE06AA"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6.</w:t>
            </w:r>
          </w:p>
        </w:tc>
        <w:tc>
          <w:tcPr>
            <w:tcW w:w="5027" w:type="dxa"/>
            <w:shd w:val="clear" w:color="auto" w:fill="auto"/>
          </w:tcPr>
          <w:p w14:paraId="2B4F37C5" w14:textId="1257A5C2" w:rsidR="00DE06AA" w:rsidRPr="00DB2F93" w:rsidRDefault="00DE06AA" w:rsidP="00DB2F93">
            <w:pPr>
              <w:rPr>
                <w:rFonts w:ascii="Times New Roman" w:hAnsi="Times New Roman" w:cs="Times New Roman"/>
                <w:sz w:val="22"/>
              </w:rPr>
            </w:pPr>
            <w:r w:rsidRPr="00DB2F93">
              <w:rPr>
                <w:rFonts w:ascii="Times New Roman" w:hAnsi="Times New Roman" w:cs="Times New Roman"/>
                <w:sz w:val="22"/>
              </w:rPr>
              <w:t xml:space="preserve">Vai pareizi tiek saprasts, ka iepirkuma tehniskās specifikācijas dokumenta “IV Sējums – IT infrastruktūras prasības” tabulā “3.5. Video ierakstu datu glabāšanas sistēma – HCI platformas papildus komponente” sekojošas prasības ir jānodrošina VNS (Videonovērošanas sistēmas) risinājumam (piemēram, BOSCH), un visas pārējās, kas šeit nav minētas – HCI platformas risinājumam (piemēram, </w:t>
            </w:r>
            <w:proofErr w:type="spellStart"/>
            <w:r w:rsidRPr="00DB2F93">
              <w:rPr>
                <w:rFonts w:ascii="Times New Roman" w:hAnsi="Times New Roman" w:cs="Times New Roman"/>
                <w:sz w:val="22"/>
              </w:rPr>
              <w:t>Nutanix</w:t>
            </w:r>
            <w:proofErr w:type="spellEnd"/>
            <w:r w:rsidRPr="00DB2F93">
              <w:rPr>
                <w:rFonts w:ascii="Times New Roman" w:hAnsi="Times New Roman" w:cs="Times New Roman"/>
                <w:sz w:val="22"/>
              </w:rPr>
              <w:t xml:space="preserve"> AOS, </w:t>
            </w:r>
            <w:proofErr w:type="spellStart"/>
            <w:r w:rsidRPr="00DB2F93">
              <w:rPr>
                <w:rFonts w:ascii="Times New Roman" w:hAnsi="Times New Roman" w:cs="Times New Roman"/>
                <w:sz w:val="22"/>
              </w:rPr>
              <w:t>VMware</w:t>
            </w:r>
            <w:proofErr w:type="spellEnd"/>
            <w:r w:rsidRPr="00DB2F93">
              <w:rPr>
                <w:rFonts w:ascii="Times New Roman" w:hAnsi="Times New Roman" w:cs="Times New Roman"/>
                <w:sz w:val="22"/>
              </w:rPr>
              <w:t xml:space="preserve"> </w:t>
            </w:r>
            <w:proofErr w:type="spellStart"/>
            <w:r w:rsidRPr="00DB2F93">
              <w:rPr>
                <w:rFonts w:ascii="Times New Roman" w:hAnsi="Times New Roman" w:cs="Times New Roman"/>
                <w:sz w:val="22"/>
              </w:rPr>
              <w:t>vSAN</w:t>
            </w:r>
            <w:proofErr w:type="spellEnd"/>
            <w:r w:rsidRPr="00DB2F93">
              <w:rPr>
                <w:rFonts w:ascii="Times New Roman" w:hAnsi="Times New Roman" w:cs="Times New Roman"/>
                <w:sz w:val="22"/>
              </w:rPr>
              <w:t>, Microsoft S2D)?</w:t>
            </w:r>
          </w:p>
        </w:tc>
        <w:tc>
          <w:tcPr>
            <w:tcW w:w="4360" w:type="dxa"/>
            <w:shd w:val="clear" w:color="auto" w:fill="auto"/>
          </w:tcPr>
          <w:p w14:paraId="08EE9F72" w14:textId="5641385C" w:rsidR="00293883" w:rsidRPr="00907212" w:rsidRDefault="00293883" w:rsidP="00DB2F93">
            <w:pPr>
              <w:rPr>
                <w:rFonts w:ascii="Times New Roman" w:hAnsi="Times New Roman" w:cs="Times New Roman"/>
                <w:sz w:val="22"/>
              </w:rPr>
            </w:pPr>
            <w:r w:rsidRPr="00907212">
              <w:rPr>
                <w:rFonts w:ascii="Times New Roman" w:hAnsi="Times New Roman" w:cs="Times New Roman"/>
                <w:sz w:val="22"/>
              </w:rPr>
              <w:t>Skaidrojam, ka VIAS un VNS risinājumiem ir paredzēts izmantot virtualizācijas platformas nodrošinājumu. Papildus skatīt Virtualizācijas (HCI) risinājuma arhitektūras</w:t>
            </w:r>
            <w:r w:rsidR="00907212" w:rsidRPr="00907212">
              <w:rPr>
                <w:rFonts w:ascii="Times New Roman" w:hAnsi="Times New Roman" w:cs="Times New Roman"/>
                <w:sz w:val="22"/>
              </w:rPr>
              <w:t xml:space="preserve"> aprakstu</w:t>
            </w:r>
            <w:r w:rsidRPr="00907212">
              <w:rPr>
                <w:rFonts w:ascii="Times New Roman" w:hAnsi="Times New Roman" w:cs="Times New Roman"/>
                <w:sz w:val="22"/>
              </w:rPr>
              <w:t xml:space="preserve"> šī skaidrojuma 3.punktā.</w:t>
            </w:r>
          </w:p>
          <w:p w14:paraId="191B5A09" w14:textId="37D521C4" w:rsidR="004F4483" w:rsidRPr="00907212" w:rsidRDefault="004F4483" w:rsidP="00DB2F93">
            <w:pPr>
              <w:rPr>
                <w:rFonts w:ascii="Times New Roman" w:hAnsi="Times New Roman" w:cs="Times New Roman"/>
                <w:sz w:val="22"/>
              </w:rPr>
            </w:pPr>
          </w:p>
        </w:tc>
      </w:tr>
      <w:tr w:rsidR="00DE06AA" w:rsidRPr="00DB2F93" w14:paraId="58DDE2D7" w14:textId="77777777" w:rsidTr="164C133D">
        <w:trPr>
          <w:trHeight w:val="278"/>
          <w:jc w:val="center"/>
        </w:trPr>
        <w:tc>
          <w:tcPr>
            <w:tcW w:w="890" w:type="dxa"/>
            <w:shd w:val="clear" w:color="auto" w:fill="auto"/>
          </w:tcPr>
          <w:p w14:paraId="22C3B8C1" w14:textId="6A3DC2A4" w:rsidR="00DE06AA" w:rsidRPr="00DB2F93" w:rsidRDefault="00DE06AA"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7.</w:t>
            </w:r>
          </w:p>
        </w:tc>
        <w:tc>
          <w:tcPr>
            <w:tcW w:w="5027" w:type="dxa"/>
            <w:shd w:val="clear" w:color="auto" w:fill="auto"/>
          </w:tcPr>
          <w:p w14:paraId="5D36E9DA" w14:textId="54396338"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Atklāta konkursa nolikumam pievienotā līguma speciālo noteikumu 4.6. punkts nosaka: </w:t>
            </w:r>
          </w:p>
          <w:p w14:paraId="4BEBABD0" w14:textId="77777777" w:rsidR="00DE06AA" w:rsidRPr="00DB2F93" w:rsidRDefault="00DE06AA" w:rsidP="00DB2F93">
            <w:pPr>
              <w:overflowPunct w:val="0"/>
              <w:autoSpaceDE w:val="0"/>
              <w:autoSpaceDN w:val="0"/>
              <w:adjustRightInd w:val="0"/>
              <w:textAlignment w:val="baseline"/>
              <w:rPr>
                <w:rFonts w:ascii="Times New Roman" w:hAnsi="Times New Roman" w:cs="Times New Roman"/>
                <w:b/>
                <w:sz w:val="22"/>
              </w:rPr>
            </w:pPr>
            <w:r w:rsidRPr="00DB2F93">
              <w:rPr>
                <w:rFonts w:ascii="Times New Roman" w:hAnsi="Times New Roman" w:cs="Times New Roman"/>
                <w:sz w:val="22"/>
              </w:rPr>
              <w:t xml:space="preserve">4.6. </w:t>
            </w:r>
            <w:r w:rsidRPr="00DB2F93">
              <w:rPr>
                <w:rFonts w:ascii="Times New Roman" w:hAnsi="Times New Roman" w:cs="Times New Roman"/>
                <w:b/>
                <w:sz w:val="22"/>
              </w:rPr>
              <w:t>Sadarbība</w:t>
            </w:r>
          </w:p>
          <w:p w14:paraId="2B2B1B56" w14:textId="77777777" w:rsidR="00DE06AA" w:rsidRPr="00DB2F93" w:rsidRDefault="00DE06AA" w:rsidP="00DB2F93">
            <w:pPr>
              <w:overflowPunct w:val="0"/>
              <w:autoSpaceDE w:val="0"/>
              <w:autoSpaceDN w:val="0"/>
              <w:adjustRightInd w:val="0"/>
              <w:textAlignment w:val="baseline"/>
              <w:rPr>
                <w:rFonts w:ascii="Times New Roman" w:hAnsi="Times New Roman" w:cs="Times New Roman"/>
                <w:sz w:val="22"/>
              </w:rPr>
            </w:pPr>
            <w:r w:rsidRPr="00DB2F93">
              <w:rPr>
                <w:rFonts w:ascii="Times New Roman" w:hAnsi="Times New Roman" w:cs="Times New Roman"/>
                <w:sz w:val="22"/>
              </w:rPr>
              <w:t>Pievienot apakšpunkta beigās:</w:t>
            </w:r>
          </w:p>
          <w:p w14:paraId="2FC484BD" w14:textId="77777777" w:rsidR="00DE06AA" w:rsidRPr="00DB2F93" w:rsidRDefault="00DE06AA" w:rsidP="00DB2F93">
            <w:pPr>
              <w:overflowPunct w:val="0"/>
              <w:autoSpaceDE w:val="0"/>
              <w:autoSpaceDN w:val="0"/>
              <w:adjustRightInd w:val="0"/>
              <w:textAlignment w:val="baseline"/>
              <w:rPr>
                <w:rFonts w:ascii="Times New Roman" w:hAnsi="Times New Roman" w:cs="Times New Roman"/>
                <w:sz w:val="22"/>
              </w:rPr>
            </w:pPr>
            <w:r w:rsidRPr="00DB2F93">
              <w:rPr>
                <w:rFonts w:ascii="Times New Roman" w:hAnsi="Times New Roman" w:cs="Times New Roman"/>
                <w:sz w:val="22"/>
              </w:rPr>
              <w:t xml:space="preserve">„Visas darbības, kas saistītas ar uzstādīšanu un savienošanu ar Pasūtītāja esošajām sistēmām jāveic Pasūtītāja personālam vai Pasūtītāja personāla klātbūtnē, par ko Uzņēmējam iepriekš rakstveidā jāvienojas ar Pasūtītāju.  </w:t>
            </w:r>
          </w:p>
          <w:p w14:paraId="38A04931" w14:textId="46911488" w:rsidR="00DE06AA" w:rsidRPr="00DB2F93" w:rsidRDefault="00DE06AA" w:rsidP="00DB2F93">
            <w:pPr>
              <w:pStyle w:val="Default"/>
              <w:rPr>
                <w:rFonts w:ascii="Times New Roman" w:hAnsi="Times New Roman" w:cs="Times New Roman"/>
                <w:color w:val="auto"/>
                <w:sz w:val="22"/>
                <w:szCs w:val="22"/>
                <w:lang w:eastAsia="lv-LV"/>
              </w:rPr>
            </w:pPr>
            <w:r w:rsidRPr="00DB2F93">
              <w:rPr>
                <w:rFonts w:ascii="Times New Roman" w:hAnsi="Times New Roman" w:cs="Times New Roman"/>
                <w:color w:val="auto"/>
                <w:sz w:val="22"/>
                <w:szCs w:val="22"/>
                <w:lang w:eastAsia="lv-LV"/>
              </w:rPr>
              <w:t>Darbu koordinēšanas apjomu un veidu visu esošo un jauno ierīču pieslēgšanai, blakus esošo staciju iekārtu uzstādīšanai un vadības sistēmu regulēšanai nosaka Inženieris, iepriekš saskaņojot ar Pasūtītāju.”</w:t>
            </w:r>
          </w:p>
          <w:p w14:paraId="46CD74AE" w14:textId="77777777" w:rsidR="00DE06AA" w:rsidRPr="00DB2F93" w:rsidRDefault="00DE06AA" w:rsidP="00DB2F93">
            <w:pPr>
              <w:pStyle w:val="Default"/>
              <w:rPr>
                <w:rFonts w:ascii="Times New Roman" w:hAnsi="Times New Roman" w:cs="Times New Roman"/>
                <w:color w:val="auto"/>
                <w:sz w:val="22"/>
                <w:szCs w:val="22"/>
                <w:lang w:eastAsia="lv-LV"/>
              </w:rPr>
            </w:pPr>
          </w:p>
          <w:p w14:paraId="1EB62DA2"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Iepazīstoties ar šo līguma punktu pretendentam nav skaidrs, vai izmaksas, kas ir saistītas ar esošo sistēmu savienošanu un uzstādīšanu ir jāiekļauj pretendenta piedāvājumā, vai arī to nodrošinās Pasūtītājs? </w:t>
            </w:r>
          </w:p>
          <w:p w14:paraId="4E0166BC"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sz w:val="22"/>
                <w:szCs w:val="22"/>
              </w:rPr>
              <w:t xml:space="preserve">Ar šo pretendents lūdz koriģēt 4.6. punktu, izsakot to sekojošā redakcijā: </w:t>
            </w:r>
          </w:p>
          <w:p w14:paraId="26CF0DB2"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b/>
                <w:bCs/>
                <w:i/>
                <w:iCs/>
                <w:sz w:val="22"/>
                <w:szCs w:val="22"/>
              </w:rPr>
              <w:t xml:space="preserve">Sadarbība </w:t>
            </w:r>
          </w:p>
          <w:p w14:paraId="704D1F82"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Pievienot apakšpunkta beigās: </w:t>
            </w:r>
          </w:p>
          <w:p w14:paraId="59BEA0C2"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„Visas darbības, kas saistītas ar uzstādīšanu un savienošanu ar Pasūtītāja esošajām sistēmām jāveic Pasūtītāja personālam, par ko Uzņēmējam iepriekš rakstveidā jāvienojas ar Pasūtītāju. Par šiem darbiem un Pasūtītāja personāla klātbūtni Pasūtītājs nav tiesīgs pieprasīt Uzņēmējam papildus samaksu, jo šie darbi nav iekļauti Uzņēmēja līguma apjomos. </w:t>
            </w:r>
          </w:p>
          <w:p w14:paraId="012A06ED" w14:textId="77777777" w:rsidR="00DE06AA" w:rsidRPr="00DB2F93" w:rsidRDefault="00DE06AA" w:rsidP="00DB2F93">
            <w:pPr>
              <w:pStyle w:val="Default"/>
              <w:rPr>
                <w:rFonts w:ascii="Times New Roman" w:hAnsi="Times New Roman" w:cs="Times New Roman"/>
                <w:sz w:val="22"/>
                <w:szCs w:val="22"/>
              </w:rPr>
            </w:pPr>
            <w:r w:rsidRPr="00DB2F93">
              <w:rPr>
                <w:rFonts w:ascii="Times New Roman" w:hAnsi="Times New Roman" w:cs="Times New Roman"/>
                <w:i/>
                <w:iCs/>
                <w:sz w:val="22"/>
                <w:szCs w:val="22"/>
              </w:rPr>
              <w:t xml:space="preserve">Darbu koordinēšanas apjomu un veidu visu esošo un jauno ierīču pieslēgšanai, blakus esošo staciju iekārtu uzstādīšanai un vadības sistēmu regulēšanai nosaka Inženieris, iepriekš saskaņojot ar Pasūtītāju.” </w:t>
            </w:r>
          </w:p>
          <w:p w14:paraId="49939BA1" w14:textId="44585A69" w:rsidR="00DE06AA" w:rsidRPr="00DB2F93" w:rsidRDefault="00DE06AA" w:rsidP="00DB2F93">
            <w:pPr>
              <w:rPr>
                <w:rFonts w:ascii="Times New Roman" w:hAnsi="Times New Roman" w:cs="Times New Roman"/>
                <w:color w:val="000000"/>
                <w:sz w:val="22"/>
              </w:rPr>
            </w:pPr>
            <w:r w:rsidRPr="00DB2F93">
              <w:rPr>
                <w:rFonts w:ascii="Times New Roman" w:hAnsi="Times New Roman" w:cs="Times New Roman"/>
                <w:sz w:val="22"/>
              </w:rPr>
              <w:t>Savukārt, ja Pasūtītājs vēlas, lai visas darbības, kas ir saistītas ar esošo sistēmu uzstādīšanu un savienošanu pretendents iekļauj savā piedāvājumā, tad pretendents lūdz pasūtītājam sagatavot un izsniegt precīzu informāciju par esošo sistēmu apjomiem un prognozējamajām izmaksām ar kurām uzņēmējam ir jārēķinās.</w:t>
            </w:r>
          </w:p>
        </w:tc>
        <w:tc>
          <w:tcPr>
            <w:tcW w:w="4360" w:type="dxa"/>
            <w:shd w:val="clear" w:color="auto" w:fill="auto"/>
          </w:tcPr>
          <w:p w14:paraId="15BB8433" w14:textId="4DC3CBA0" w:rsidR="00DE06AA" w:rsidRPr="00DB2F93" w:rsidRDefault="00DE06AA" w:rsidP="00DB2F93">
            <w:pPr>
              <w:rPr>
                <w:rFonts w:ascii="Times New Roman" w:hAnsi="Times New Roman" w:cs="Times New Roman"/>
                <w:sz w:val="22"/>
              </w:rPr>
            </w:pPr>
            <w:r w:rsidRPr="00DB2F93">
              <w:rPr>
                <w:rFonts w:ascii="Times New Roman" w:eastAsia="Calibri" w:hAnsi="Times New Roman" w:cs="Times New Roman"/>
                <w:sz w:val="22"/>
                <w:lang w:eastAsia="en-US"/>
              </w:rPr>
              <w:t>Apstiprinām, ka</w:t>
            </w:r>
            <w:r w:rsidRPr="00DB2F93">
              <w:rPr>
                <w:rFonts w:ascii="Times New Roman" w:hAnsi="Times New Roman" w:cs="Times New Roman"/>
                <w:sz w:val="22"/>
              </w:rPr>
              <w:t xml:space="preserve"> esošo sistēmu savienošanas un uzstādīšanas izmaksas ir jāiekļauj pretendenta piedāvājumā.</w:t>
            </w:r>
          </w:p>
          <w:p w14:paraId="06004814" w14:textId="53D9E7C7" w:rsidR="00DE06AA" w:rsidRPr="00DB2F93" w:rsidRDefault="00DE06AA" w:rsidP="00DB2F93">
            <w:pPr>
              <w:rPr>
                <w:rFonts w:ascii="Times New Roman" w:eastAsia="Calibri" w:hAnsi="Times New Roman" w:cs="Times New Roman"/>
                <w:i/>
                <w:iCs/>
                <w:sz w:val="22"/>
              </w:rPr>
            </w:pPr>
          </w:p>
          <w:p w14:paraId="699DA631" w14:textId="562EEE5A" w:rsidR="00DE06AA" w:rsidRPr="00DB2F93" w:rsidRDefault="00DE06AA" w:rsidP="00DB2F93">
            <w:pPr>
              <w:rPr>
                <w:rFonts w:ascii="Times New Roman" w:eastAsia="Calibri" w:hAnsi="Times New Roman" w:cs="Times New Roman"/>
                <w:sz w:val="22"/>
                <w:lang w:eastAsia="en-US"/>
              </w:rPr>
            </w:pPr>
            <w:r w:rsidRPr="00DB2F93">
              <w:rPr>
                <w:rFonts w:ascii="Times New Roman" w:eastAsia="Calibri" w:hAnsi="Times New Roman" w:cs="Times New Roman"/>
                <w:sz w:val="22"/>
              </w:rPr>
              <w:t>Līguma Speciālo noteikumu 4.6.punkta redakcija netiks mainīta.</w:t>
            </w:r>
          </w:p>
          <w:p w14:paraId="030476CC" w14:textId="77777777" w:rsidR="00DE06AA" w:rsidRPr="00DB2F93" w:rsidRDefault="00DE06AA" w:rsidP="00DB2F93">
            <w:pPr>
              <w:rPr>
                <w:rFonts w:ascii="Times New Roman" w:eastAsia="Calibri" w:hAnsi="Times New Roman" w:cs="Times New Roman"/>
                <w:sz w:val="22"/>
                <w:lang w:eastAsia="en-US"/>
              </w:rPr>
            </w:pPr>
          </w:p>
          <w:p w14:paraId="3EC64F52" w14:textId="0A8FAE32" w:rsidR="00DE06AA" w:rsidRPr="00DB2F93" w:rsidRDefault="00DE06AA" w:rsidP="00DB2F93">
            <w:pPr>
              <w:rPr>
                <w:rFonts w:ascii="Times New Roman" w:eastAsia="Calibri" w:hAnsi="Times New Roman" w:cs="Times New Roman"/>
                <w:sz w:val="22"/>
                <w:lang w:eastAsia="en-US"/>
              </w:rPr>
            </w:pPr>
            <w:r w:rsidRPr="00DB2F93">
              <w:rPr>
                <w:rFonts w:ascii="Times New Roman" w:eastAsia="Calibri" w:hAnsi="Times New Roman" w:cs="Times New Roman"/>
                <w:sz w:val="22"/>
                <w:lang w:eastAsia="en-US"/>
              </w:rPr>
              <w:t>Informācija par esošajām pasažieru apziņošanas sistēmas  un videonovērošanas sistēmas iekārtām, un vilcienu kustības informācijas sistēmas, ir norādītas Pasūtītāja prasību 3.pielikumā</w:t>
            </w:r>
            <w:r w:rsidRPr="00DB2F93">
              <w:rPr>
                <w:rFonts w:ascii="Times New Roman" w:hAnsi="Times New Roman" w:cs="Times New Roman"/>
                <w:sz w:val="22"/>
              </w:rPr>
              <w:t>.</w:t>
            </w:r>
          </w:p>
        </w:tc>
      </w:tr>
      <w:tr w:rsidR="00DE06AA" w:rsidRPr="00DB2F93" w14:paraId="5A6665DC" w14:textId="77777777" w:rsidTr="164C133D">
        <w:trPr>
          <w:trHeight w:val="987"/>
          <w:jc w:val="center"/>
        </w:trPr>
        <w:tc>
          <w:tcPr>
            <w:tcW w:w="890" w:type="dxa"/>
            <w:shd w:val="clear" w:color="auto" w:fill="auto"/>
          </w:tcPr>
          <w:p w14:paraId="63D47049" w14:textId="4B634E73" w:rsidR="00DE06AA" w:rsidRPr="00DB2F93" w:rsidRDefault="00DE06AA"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8.</w:t>
            </w:r>
          </w:p>
        </w:tc>
        <w:tc>
          <w:tcPr>
            <w:tcW w:w="5027" w:type="dxa"/>
            <w:shd w:val="clear" w:color="auto" w:fill="auto"/>
          </w:tcPr>
          <w:p w14:paraId="1CB35BA8" w14:textId="77777777" w:rsidR="00AA44A7" w:rsidRDefault="00DE06AA" w:rsidP="00DB2F93">
            <w:pPr>
              <w:rPr>
                <w:rFonts w:ascii="Times New Roman" w:hAnsi="Times New Roman" w:cs="Times New Roman"/>
                <w:sz w:val="22"/>
              </w:rPr>
            </w:pPr>
            <w:r w:rsidRPr="00DB2F93">
              <w:rPr>
                <w:rFonts w:ascii="Times New Roman" w:hAnsi="Times New Roman" w:cs="Times New Roman"/>
                <w:sz w:val="22"/>
              </w:rPr>
              <w:t xml:space="preserve">Ņemto vērā to, ka Uzņēmējam piedāvājuma sagatavošanas procesā un līguma izpildes laikā būs nepieciešamas konsultēties un saskaņot savus darbus un risinājumus, kas ir saistīti ar Pasūtītāja esošo sistēmu savienošanu un uzstādīšanu, lūdzam Pasūtītājam sniegt informāciju vai Pasūtītājam ir noslēgts līgums ar pakalpojuma sniedzēju par esošo sistēmu uzturēšanu? </w:t>
            </w:r>
          </w:p>
          <w:p w14:paraId="6EE4E2BE" w14:textId="77777777" w:rsidR="00AA44A7" w:rsidRDefault="00DE06AA" w:rsidP="00DB2F93">
            <w:pPr>
              <w:rPr>
                <w:rFonts w:ascii="Times New Roman" w:hAnsi="Times New Roman" w:cs="Times New Roman"/>
                <w:sz w:val="22"/>
              </w:rPr>
            </w:pPr>
            <w:r w:rsidRPr="00DB2F93">
              <w:rPr>
                <w:rFonts w:ascii="Times New Roman" w:hAnsi="Times New Roman" w:cs="Times New Roman"/>
                <w:sz w:val="22"/>
              </w:rPr>
              <w:t xml:space="preserve">Kā arī, lūdzam informēt kurš uzņēmums šobrīd veic esošo sistēmu uzturēšanu? </w:t>
            </w:r>
          </w:p>
          <w:p w14:paraId="67E47DF4" w14:textId="27CFEDDC" w:rsidR="00DE06AA" w:rsidRPr="00DB2F93" w:rsidRDefault="00DE06AA" w:rsidP="00DB2F93">
            <w:pPr>
              <w:rPr>
                <w:rFonts w:ascii="Times New Roman" w:hAnsi="Times New Roman" w:cs="Times New Roman"/>
                <w:color w:val="000000"/>
                <w:sz w:val="22"/>
              </w:rPr>
            </w:pPr>
            <w:r w:rsidRPr="00DB2F93">
              <w:rPr>
                <w:rFonts w:ascii="Times New Roman" w:hAnsi="Times New Roman" w:cs="Times New Roman"/>
                <w:sz w:val="22"/>
              </w:rPr>
              <w:t>Lūdzam arī sniegt informāciju par kontaktpersonu, ar kuru būtu iespējams sazināties par iepriekš minētajiem jautājumiem.</w:t>
            </w:r>
          </w:p>
        </w:tc>
        <w:tc>
          <w:tcPr>
            <w:tcW w:w="4360" w:type="dxa"/>
            <w:shd w:val="clear" w:color="auto" w:fill="auto"/>
          </w:tcPr>
          <w:p w14:paraId="667095B3" w14:textId="34B032C2" w:rsidR="002F5823" w:rsidRPr="00DB2F93" w:rsidRDefault="00171129" w:rsidP="00DB2F93">
            <w:pPr>
              <w:rPr>
                <w:rFonts w:ascii="Times New Roman" w:hAnsi="Times New Roman" w:cs="Times New Roman"/>
                <w:i/>
                <w:iCs/>
                <w:sz w:val="22"/>
              </w:rPr>
            </w:pPr>
            <w:r>
              <w:rPr>
                <w:rFonts w:ascii="Times New Roman" w:eastAsia="Calibri" w:hAnsi="Times New Roman" w:cs="Times New Roman"/>
                <w:sz w:val="22"/>
                <w:lang w:eastAsia="en-US"/>
              </w:rPr>
              <w:t>Atbilstoši Nolikuma 5.pielikuma “Pasūtītāja prasības”</w:t>
            </w:r>
            <w:r w:rsidR="00DE06AA" w:rsidRPr="00DB2F93">
              <w:rPr>
                <w:rFonts w:ascii="Times New Roman" w:eastAsia="Calibri" w:hAnsi="Times New Roman" w:cs="Times New Roman"/>
                <w:sz w:val="22"/>
                <w:lang w:eastAsia="en-US"/>
              </w:rPr>
              <w:t xml:space="preserve"> 3.pielikuma 10) </w:t>
            </w:r>
            <w:r w:rsidR="00DE06AA" w:rsidRPr="00DB2F93">
              <w:rPr>
                <w:rFonts w:ascii="Times New Roman" w:hAnsi="Times New Roman" w:cs="Times New Roman"/>
                <w:i/>
                <w:iCs/>
                <w:sz w:val="22"/>
              </w:rPr>
              <w:t xml:space="preserve">Visām esošajām iekārtām garantijas periods ir beidzies un esošo iekārtu apkalpošana nav šī iepirkuma līguma ietvaros. </w:t>
            </w:r>
          </w:p>
          <w:p w14:paraId="0C5365B4" w14:textId="767158FE" w:rsidR="00171129" w:rsidRDefault="00DE06AA" w:rsidP="00DB2F93">
            <w:pPr>
              <w:rPr>
                <w:rFonts w:ascii="Times New Roman" w:hAnsi="Times New Roman" w:cs="Times New Roman"/>
                <w:i/>
                <w:iCs/>
                <w:sz w:val="22"/>
              </w:rPr>
            </w:pPr>
            <w:r w:rsidRPr="00DB2F93">
              <w:rPr>
                <w:rFonts w:ascii="Times New Roman" w:hAnsi="Times New Roman" w:cs="Times New Roman"/>
                <w:i/>
                <w:iCs/>
                <w:sz w:val="22"/>
              </w:rPr>
              <w:t>PAS un VNS saistīto iekārtu un serveru monitorings, audio, displeju un serveru iekārtu atjauninājumi un daļēja apkalpošana tiek veikta saskaņā ar līgumu par uzturēšanu</w:t>
            </w:r>
            <w:r w:rsidR="00171129">
              <w:rPr>
                <w:rFonts w:ascii="Times New Roman" w:hAnsi="Times New Roman" w:cs="Times New Roman"/>
                <w:i/>
                <w:iCs/>
                <w:sz w:val="22"/>
              </w:rPr>
              <w:t>.</w:t>
            </w:r>
          </w:p>
          <w:p w14:paraId="7BB5DC78" w14:textId="68FAB63A" w:rsidR="00DE06AA" w:rsidRPr="00171129" w:rsidRDefault="00171129" w:rsidP="00DB2F93">
            <w:pPr>
              <w:rPr>
                <w:rFonts w:ascii="Times New Roman" w:hAnsi="Times New Roman" w:cs="Times New Roman"/>
                <w:sz w:val="22"/>
              </w:rPr>
            </w:pPr>
            <w:r w:rsidRPr="00171129">
              <w:rPr>
                <w:rFonts w:ascii="Times New Roman" w:hAnsi="Times New Roman" w:cs="Times New Roman"/>
                <w:sz w:val="22"/>
              </w:rPr>
              <w:t xml:space="preserve">Šobrīd </w:t>
            </w:r>
            <w:r w:rsidR="0029430C">
              <w:rPr>
                <w:rFonts w:ascii="Times New Roman" w:hAnsi="Times New Roman" w:cs="Times New Roman"/>
                <w:sz w:val="22"/>
              </w:rPr>
              <w:t>PAS un VNS</w:t>
            </w:r>
            <w:r w:rsidR="0029430C" w:rsidRPr="00171129">
              <w:rPr>
                <w:rFonts w:ascii="Times New Roman" w:hAnsi="Times New Roman" w:cs="Times New Roman"/>
                <w:sz w:val="22"/>
              </w:rPr>
              <w:t xml:space="preserve"> </w:t>
            </w:r>
            <w:r w:rsidRPr="00171129">
              <w:rPr>
                <w:rFonts w:ascii="Times New Roman" w:hAnsi="Times New Roman" w:cs="Times New Roman"/>
                <w:sz w:val="22"/>
              </w:rPr>
              <w:t>sistēmu uzturēšanu veic</w:t>
            </w:r>
            <w:r w:rsidR="00B86A54" w:rsidRPr="00DB2F93">
              <w:rPr>
                <w:rFonts w:ascii="Times New Roman" w:hAnsi="Times New Roman" w:cs="Times New Roman"/>
                <w:i/>
                <w:iCs/>
                <w:sz w:val="22"/>
              </w:rPr>
              <w:t xml:space="preserve"> </w:t>
            </w:r>
            <w:r w:rsidR="00B86A54" w:rsidRPr="00171129">
              <w:rPr>
                <w:rFonts w:ascii="Times New Roman" w:hAnsi="Times New Roman" w:cs="Times New Roman"/>
                <w:sz w:val="22"/>
              </w:rPr>
              <w:t>SIA “Dati Group”</w:t>
            </w:r>
            <w:r w:rsidR="00842574" w:rsidRPr="00171129">
              <w:rPr>
                <w:rFonts w:ascii="Times New Roman" w:hAnsi="Times New Roman" w:cs="Times New Roman"/>
                <w:sz w:val="22"/>
              </w:rPr>
              <w:t>.</w:t>
            </w:r>
          </w:p>
          <w:p w14:paraId="18F1BD71" w14:textId="77777777" w:rsidR="00171129" w:rsidRDefault="00171129" w:rsidP="00171129">
            <w:pPr>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Pasūtītāja kontaktpersona ir norādīta Nolikuma 2.3.punktā. </w:t>
            </w:r>
          </w:p>
          <w:p w14:paraId="43C0E6E3" w14:textId="0CFD4C47" w:rsidR="00DE06AA" w:rsidRPr="00DB2F93" w:rsidRDefault="00171129" w:rsidP="00171129">
            <w:pPr>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Pasūtītājs vērš uzmanību, ka saskaņā ar nolikuma 12.5.punktu </w:t>
            </w:r>
            <w:r w:rsidRPr="00AA44A7">
              <w:rPr>
                <w:rFonts w:ascii="Times New Roman" w:hAnsi="Times New Roman" w:cs="Times New Roman"/>
                <w:i/>
                <w:iCs/>
                <w:sz w:val="22"/>
              </w:rPr>
              <w:t xml:space="preserve">pieprasījumus un atbildes dokumentus noformē </w:t>
            </w:r>
            <w:r w:rsidRPr="00AA44A7">
              <w:rPr>
                <w:rFonts w:ascii="Times New Roman" w:hAnsi="Times New Roman" w:cs="Times New Roman"/>
                <w:b/>
                <w:bCs/>
                <w:i/>
                <w:iCs/>
                <w:sz w:val="22"/>
              </w:rPr>
              <w:t>rakstveidā latviešu valodā</w:t>
            </w:r>
            <w:r w:rsidRPr="00AA44A7">
              <w:rPr>
                <w:rFonts w:ascii="Times New Roman" w:hAnsi="Times New Roman" w:cs="Times New Roman"/>
                <w:i/>
                <w:iCs/>
                <w:sz w:val="22"/>
              </w:rPr>
              <w:t>. Dokumenta noformēšanā un nosūtīšanā ievēro saistošos tiesību normatīvos aktos noteikto, tai skaitā elektronisko parakstu parakstīto dokumentu sūtīšanai un saņemšanai</w:t>
            </w:r>
            <w:r w:rsidRPr="00AA44A7">
              <w:rPr>
                <w:rFonts w:ascii="Times New Roman" w:hAnsi="Times New Roman" w:cs="Times New Roman"/>
                <w:sz w:val="22"/>
              </w:rPr>
              <w:t>.</w:t>
            </w:r>
          </w:p>
        </w:tc>
      </w:tr>
      <w:bookmarkEnd w:id="2"/>
    </w:tbl>
    <w:p w14:paraId="5D7F5500" w14:textId="77777777" w:rsidR="00577433" w:rsidRPr="00DB2F93" w:rsidRDefault="00577433" w:rsidP="00DB2F93">
      <w:pPr>
        <w:rPr>
          <w:rFonts w:ascii="Times New Roman" w:hAnsi="Times New Roman" w:cs="Times New Roman"/>
        </w:rPr>
      </w:pPr>
    </w:p>
    <w:sectPr w:rsidR="00577433" w:rsidRPr="00DB2F93" w:rsidSect="004D6653">
      <w:headerReference w:type="default" r:id="rId11"/>
      <w:footerReference w:type="default" r:id="rId12"/>
      <w:headerReference w:type="first" r:id="rId13"/>
      <w:footerReference w:type="first" r:id="rId14"/>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3A61" w14:textId="77777777" w:rsidR="004F093B" w:rsidRDefault="004F093B" w:rsidP="00591256">
      <w:r>
        <w:separator/>
      </w:r>
    </w:p>
  </w:endnote>
  <w:endnote w:type="continuationSeparator" w:id="0">
    <w:p w14:paraId="5F951DFB" w14:textId="77777777" w:rsidR="004F093B" w:rsidRDefault="004F093B" w:rsidP="00591256">
      <w:r>
        <w:continuationSeparator/>
      </w:r>
    </w:p>
  </w:endnote>
  <w:endnote w:type="continuationNotice" w:id="1">
    <w:p w14:paraId="406FAD81" w14:textId="77777777" w:rsidR="004F093B" w:rsidRDefault="004F0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Galvene"/>
            <w:ind w:left="-115"/>
          </w:pPr>
        </w:p>
      </w:tc>
      <w:tc>
        <w:tcPr>
          <w:tcW w:w="3210" w:type="dxa"/>
        </w:tcPr>
        <w:p w14:paraId="22006B76" w14:textId="25BA0890" w:rsidR="1B25E18A" w:rsidRDefault="1B25E18A" w:rsidP="1B25E18A">
          <w:pPr>
            <w:pStyle w:val="Galvene"/>
            <w:jc w:val="center"/>
          </w:pPr>
        </w:p>
      </w:tc>
      <w:tc>
        <w:tcPr>
          <w:tcW w:w="3210" w:type="dxa"/>
        </w:tcPr>
        <w:p w14:paraId="2A54CEA6" w14:textId="42A6C168" w:rsidR="1B25E18A" w:rsidRDefault="1B25E18A" w:rsidP="1B25E18A">
          <w:pPr>
            <w:pStyle w:val="Galvene"/>
            <w:ind w:right="-115"/>
            <w:jc w:val="right"/>
          </w:pPr>
        </w:p>
      </w:tc>
    </w:tr>
  </w:tbl>
  <w:p w14:paraId="15FAFD1B" w14:textId="642CB256" w:rsidR="00EA03F7" w:rsidRDefault="00EA0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4A5E8" w14:textId="77777777" w:rsidR="004F093B" w:rsidRDefault="004F093B" w:rsidP="00591256">
      <w:r>
        <w:separator/>
      </w:r>
    </w:p>
  </w:footnote>
  <w:footnote w:type="continuationSeparator" w:id="0">
    <w:p w14:paraId="46EA0A95" w14:textId="77777777" w:rsidR="004F093B" w:rsidRDefault="004F093B" w:rsidP="00591256">
      <w:r>
        <w:continuationSeparator/>
      </w:r>
    </w:p>
  </w:footnote>
  <w:footnote w:type="continuationNotice" w:id="1">
    <w:p w14:paraId="1A138E11" w14:textId="77777777" w:rsidR="004F093B" w:rsidRDefault="004F0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0EAFB231" w14:textId="77777777" w:rsidTr="1B25E18A">
      <w:tc>
        <w:tcPr>
          <w:tcW w:w="3210" w:type="dxa"/>
        </w:tcPr>
        <w:p w14:paraId="39B732B0" w14:textId="1B4D9359" w:rsidR="1B25E18A" w:rsidRDefault="1B25E18A" w:rsidP="1B25E18A">
          <w:pPr>
            <w:pStyle w:val="Galvene"/>
            <w:ind w:left="-115"/>
          </w:pPr>
        </w:p>
      </w:tc>
      <w:tc>
        <w:tcPr>
          <w:tcW w:w="3210" w:type="dxa"/>
        </w:tcPr>
        <w:p w14:paraId="56119347" w14:textId="67812DBF" w:rsidR="1B25E18A" w:rsidRDefault="1B25E18A" w:rsidP="1B25E18A">
          <w:pPr>
            <w:pStyle w:val="Galvene"/>
            <w:jc w:val="center"/>
          </w:pPr>
        </w:p>
      </w:tc>
      <w:tc>
        <w:tcPr>
          <w:tcW w:w="3210" w:type="dxa"/>
        </w:tcPr>
        <w:p w14:paraId="708CFE9F" w14:textId="51B0B1F4" w:rsidR="1B25E18A" w:rsidRDefault="1B25E18A" w:rsidP="1B25E18A">
          <w:pPr>
            <w:pStyle w:val="Galvene"/>
            <w:ind w:right="-115"/>
            <w:jc w:val="right"/>
          </w:pPr>
        </w:p>
      </w:tc>
    </w:tr>
  </w:tbl>
  <w:p w14:paraId="31C78113" w14:textId="11BF3793"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64DD"/>
    <w:rsid w:val="000D748C"/>
    <w:rsid w:val="000F07E7"/>
    <w:rsid w:val="000F1484"/>
    <w:rsid w:val="000F2F27"/>
    <w:rsid w:val="000F595D"/>
    <w:rsid w:val="00103198"/>
    <w:rsid w:val="00107DB9"/>
    <w:rsid w:val="0011221E"/>
    <w:rsid w:val="00115906"/>
    <w:rsid w:val="00123AC1"/>
    <w:rsid w:val="00124FFD"/>
    <w:rsid w:val="00125CEF"/>
    <w:rsid w:val="00132AE1"/>
    <w:rsid w:val="00135EAE"/>
    <w:rsid w:val="00137017"/>
    <w:rsid w:val="001377AC"/>
    <w:rsid w:val="001447C7"/>
    <w:rsid w:val="001573E2"/>
    <w:rsid w:val="00160CF4"/>
    <w:rsid w:val="00161D7E"/>
    <w:rsid w:val="00163F1B"/>
    <w:rsid w:val="00165EA6"/>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51D"/>
    <w:rsid w:val="001E5162"/>
    <w:rsid w:val="001E5F18"/>
    <w:rsid w:val="001F2825"/>
    <w:rsid w:val="001F5C6D"/>
    <w:rsid w:val="0020119B"/>
    <w:rsid w:val="00204413"/>
    <w:rsid w:val="002150DD"/>
    <w:rsid w:val="00220950"/>
    <w:rsid w:val="00222330"/>
    <w:rsid w:val="00223533"/>
    <w:rsid w:val="002247D0"/>
    <w:rsid w:val="00226478"/>
    <w:rsid w:val="00227B32"/>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443C"/>
    <w:rsid w:val="00287375"/>
    <w:rsid w:val="00293883"/>
    <w:rsid w:val="0029430C"/>
    <w:rsid w:val="0029616F"/>
    <w:rsid w:val="00297DEA"/>
    <w:rsid w:val="002A2ACD"/>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55B0"/>
    <w:rsid w:val="00336EC0"/>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6D80"/>
    <w:rsid w:val="003A407E"/>
    <w:rsid w:val="003A5DD6"/>
    <w:rsid w:val="003A6D73"/>
    <w:rsid w:val="003B276F"/>
    <w:rsid w:val="003C1F4C"/>
    <w:rsid w:val="003C415B"/>
    <w:rsid w:val="003C6742"/>
    <w:rsid w:val="003D2470"/>
    <w:rsid w:val="003D36AA"/>
    <w:rsid w:val="003D557C"/>
    <w:rsid w:val="003D576F"/>
    <w:rsid w:val="003D6999"/>
    <w:rsid w:val="003E12E1"/>
    <w:rsid w:val="003F21B3"/>
    <w:rsid w:val="003F45C5"/>
    <w:rsid w:val="003F61B4"/>
    <w:rsid w:val="0040731A"/>
    <w:rsid w:val="00410B13"/>
    <w:rsid w:val="004115F0"/>
    <w:rsid w:val="00411CFA"/>
    <w:rsid w:val="00415931"/>
    <w:rsid w:val="00431C11"/>
    <w:rsid w:val="00445D89"/>
    <w:rsid w:val="004513B9"/>
    <w:rsid w:val="004525DD"/>
    <w:rsid w:val="00463E41"/>
    <w:rsid w:val="00467293"/>
    <w:rsid w:val="00474EE3"/>
    <w:rsid w:val="00481539"/>
    <w:rsid w:val="00484CF4"/>
    <w:rsid w:val="00487AFC"/>
    <w:rsid w:val="00492F79"/>
    <w:rsid w:val="00496E06"/>
    <w:rsid w:val="00497CBE"/>
    <w:rsid w:val="004A09B4"/>
    <w:rsid w:val="004B1024"/>
    <w:rsid w:val="004B3F83"/>
    <w:rsid w:val="004B6A0A"/>
    <w:rsid w:val="004C0488"/>
    <w:rsid w:val="004D6653"/>
    <w:rsid w:val="004E6C6A"/>
    <w:rsid w:val="004E736D"/>
    <w:rsid w:val="004F02F3"/>
    <w:rsid w:val="004F093B"/>
    <w:rsid w:val="004F1F22"/>
    <w:rsid w:val="004F21DA"/>
    <w:rsid w:val="004F4483"/>
    <w:rsid w:val="0050158A"/>
    <w:rsid w:val="005020C2"/>
    <w:rsid w:val="0050366A"/>
    <w:rsid w:val="00503A2C"/>
    <w:rsid w:val="00506654"/>
    <w:rsid w:val="00510F6F"/>
    <w:rsid w:val="005116C3"/>
    <w:rsid w:val="00512082"/>
    <w:rsid w:val="00512269"/>
    <w:rsid w:val="0051308D"/>
    <w:rsid w:val="0052178F"/>
    <w:rsid w:val="0052252A"/>
    <w:rsid w:val="00522DD5"/>
    <w:rsid w:val="00523800"/>
    <w:rsid w:val="00535018"/>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602A51"/>
    <w:rsid w:val="00605CA6"/>
    <w:rsid w:val="00607597"/>
    <w:rsid w:val="00614E0C"/>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5C05"/>
    <w:rsid w:val="006708AE"/>
    <w:rsid w:val="006722DF"/>
    <w:rsid w:val="006733E0"/>
    <w:rsid w:val="00677617"/>
    <w:rsid w:val="00685048"/>
    <w:rsid w:val="00685C3C"/>
    <w:rsid w:val="00686911"/>
    <w:rsid w:val="006871BA"/>
    <w:rsid w:val="00695EAB"/>
    <w:rsid w:val="006A2B6C"/>
    <w:rsid w:val="006A5CBF"/>
    <w:rsid w:val="006A60A3"/>
    <w:rsid w:val="006B5391"/>
    <w:rsid w:val="006B5E9E"/>
    <w:rsid w:val="006C0DDF"/>
    <w:rsid w:val="006C13E6"/>
    <w:rsid w:val="006D22B4"/>
    <w:rsid w:val="006D4EF1"/>
    <w:rsid w:val="006E24E3"/>
    <w:rsid w:val="006E6BDE"/>
    <w:rsid w:val="006F0B85"/>
    <w:rsid w:val="006F1AA9"/>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B0503"/>
    <w:rsid w:val="007C4A77"/>
    <w:rsid w:val="007D3632"/>
    <w:rsid w:val="007E0D88"/>
    <w:rsid w:val="007E21CE"/>
    <w:rsid w:val="007E64FF"/>
    <w:rsid w:val="008028DE"/>
    <w:rsid w:val="00805B84"/>
    <w:rsid w:val="00805B88"/>
    <w:rsid w:val="008071EC"/>
    <w:rsid w:val="00810862"/>
    <w:rsid w:val="00810B79"/>
    <w:rsid w:val="00813A56"/>
    <w:rsid w:val="00816A26"/>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83223"/>
    <w:rsid w:val="008835CB"/>
    <w:rsid w:val="00884863"/>
    <w:rsid w:val="008862F5"/>
    <w:rsid w:val="00886AFE"/>
    <w:rsid w:val="00892BED"/>
    <w:rsid w:val="008A41C8"/>
    <w:rsid w:val="008A44DC"/>
    <w:rsid w:val="008B5707"/>
    <w:rsid w:val="008B6DE7"/>
    <w:rsid w:val="008C15AD"/>
    <w:rsid w:val="008C59C7"/>
    <w:rsid w:val="008D3257"/>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7396"/>
    <w:rsid w:val="009E7606"/>
    <w:rsid w:val="009E7877"/>
    <w:rsid w:val="009E7DC6"/>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63CF1"/>
    <w:rsid w:val="00A73A40"/>
    <w:rsid w:val="00A741E4"/>
    <w:rsid w:val="00A75BAC"/>
    <w:rsid w:val="00A8060D"/>
    <w:rsid w:val="00A82463"/>
    <w:rsid w:val="00A82B9D"/>
    <w:rsid w:val="00A863C0"/>
    <w:rsid w:val="00A864F7"/>
    <w:rsid w:val="00A93B57"/>
    <w:rsid w:val="00A954CA"/>
    <w:rsid w:val="00A9595B"/>
    <w:rsid w:val="00A967E7"/>
    <w:rsid w:val="00AA44A7"/>
    <w:rsid w:val="00AB1921"/>
    <w:rsid w:val="00AB3618"/>
    <w:rsid w:val="00AB5C67"/>
    <w:rsid w:val="00AC01EB"/>
    <w:rsid w:val="00AC7B56"/>
    <w:rsid w:val="00AE1116"/>
    <w:rsid w:val="00AE1761"/>
    <w:rsid w:val="00AE5484"/>
    <w:rsid w:val="00AE5C91"/>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576FD"/>
    <w:rsid w:val="00B57CB0"/>
    <w:rsid w:val="00B62BFC"/>
    <w:rsid w:val="00B65300"/>
    <w:rsid w:val="00B728FD"/>
    <w:rsid w:val="00B73FBA"/>
    <w:rsid w:val="00B75217"/>
    <w:rsid w:val="00B76621"/>
    <w:rsid w:val="00B7708F"/>
    <w:rsid w:val="00B8132D"/>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211C"/>
    <w:rsid w:val="00C1296A"/>
    <w:rsid w:val="00C33AF9"/>
    <w:rsid w:val="00C351C9"/>
    <w:rsid w:val="00C46156"/>
    <w:rsid w:val="00C47038"/>
    <w:rsid w:val="00C5337F"/>
    <w:rsid w:val="00C5452E"/>
    <w:rsid w:val="00C5788F"/>
    <w:rsid w:val="00C60D96"/>
    <w:rsid w:val="00C7734F"/>
    <w:rsid w:val="00C81FE3"/>
    <w:rsid w:val="00C82362"/>
    <w:rsid w:val="00C83A79"/>
    <w:rsid w:val="00C85FDA"/>
    <w:rsid w:val="00C864F5"/>
    <w:rsid w:val="00C867EA"/>
    <w:rsid w:val="00C86975"/>
    <w:rsid w:val="00C87D1D"/>
    <w:rsid w:val="00C92183"/>
    <w:rsid w:val="00C968D8"/>
    <w:rsid w:val="00CA194D"/>
    <w:rsid w:val="00CB04CB"/>
    <w:rsid w:val="00CB25A5"/>
    <w:rsid w:val="00CB3729"/>
    <w:rsid w:val="00CB6523"/>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3E2B"/>
    <w:rsid w:val="00D86768"/>
    <w:rsid w:val="00DA2AFF"/>
    <w:rsid w:val="00DA4609"/>
    <w:rsid w:val="00DA4A33"/>
    <w:rsid w:val="00DB2F93"/>
    <w:rsid w:val="00DB3949"/>
    <w:rsid w:val="00DB5A73"/>
    <w:rsid w:val="00DC256D"/>
    <w:rsid w:val="00DC42B9"/>
    <w:rsid w:val="00DC5224"/>
    <w:rsid w:val="00DC6CC0"/>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5041"/>
    <w:rsid w:val="00E225B8"/>
    <w:rsid w:val="00E24C0A"/>
    <w:rsid w:val="00E26D46"/>
    <w:rsid w:val="00E30DA2"/>
    <w:rsid w:val="00E30FB4"/>
    <w:rsid w:val="00E32E0C"/>
    <w:rsid w:val="00E404CC"/>
    <w:rsid w:val="00E423E0"/>
    <w:rsid w:val="00E50083"/>
    <w:rsid w:val="00E52AD0"/>
    <w:rsid w:val="00E74F21"/>
    <w:rsid w:val="00E74F57"/>
    <w:rsid w:val="00E82AFA"/>
    <w:rsid w:val="00E934D7"/>
    <w:rsid w:val="00E941A3"/>
    <w:rsid w:val="00E96EAD"/>
    <w:rsid w:val="00EA03F7"/>
    <w:rsid w:val="00EA2EC9"/>
    <w:rsid w:val="00EA572A"/>
    <w:rsid w:val="00EA6564"/>
    <w:rsid w:val="00EA7F09"/>
    <w:rsid w:val="00EB19BE"/>
    <w:rsid w:val="00EC64F7"/>
    <w:rsid w:val="00ED3983"/>
    <w:rsid w:val="00ED5BAB"/>
    <w:rsid w:val="00ED72A4"/>
    <w:rsid w:val="00EE1546"/>
    <w:rsid w:val="00EE6564"/>
    <w:rsid w:val="00EF6932"/>
    <w:rsid w:val="00F05C46"/>
    <w:rsid w:val="00F068F1"/>
    <w:rsid w:val="00F06F41"/>
    <w:rsid w:val="00F11962"/>
    <w:rsid w:val="00F11C52"/>
    <w:rsid w:val="00F12D47"/>
    <w:rsid w:val="00F142F1"/>
    <w:rsid w:val="00F24055"/>
    <w:rsid w:val="00F26D4E"/>
    <w:rsid w:val="00F3571D"/>
    <w:rsid w:val="00F4109F"/>
    <w:rsid w:val="00F535E2"/>
    <w:rsid w:val="00F62CA8"/>
    <w:rsid w:val="00F630C6"/>
    <w:rsid w:val="00F63476"/>
    <w:rsid w:val="00F719B4"/>
    <w:rsid w:val="00F738F2"/>
    <w:rsid w:val="00F755F7"/>
    <w:rsid w:val="00F77688"/>
    <w:rsid w:val="00F77E3C"/>
    <w:rsid w:val="00F803DD"/>
    <w:rsid w:val="00F823DB"/>
    <w:rsid w:val="00F82A5D"/>
    <w:rsid w:val="00F93ADA"/>
    <w:rsid w:val="00F95065"/>
    <w:rsid w:val="00F96301"/>
    <w:rsid w:val="00F9799B"/>
    <w:rsid w:val="00FA4AF0"/>
    <w:rsid w:val="00FB0790"/>
    <w:rsid w:val="00FC0FCE"/>
    <w:rsid w:val="00FD096F"/>
    <w:rsid w:val="00FD1298"/>
    <w:rsid w:val="00FD26CC"/>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4.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7242</Words>
  <Characters>4128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2021-04-26T11:55:00Z</dcterms:created>
  <dcterms:modified xsi:type="dcterms:W3CDTF">2021-04-26T11:55:00Z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