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5F21" w14:textId="77777777" w:rsidR="008D18F9" w:rsidRPr="00A062F4" w:rsidRDefault="008D18F9" w:rsidP="008D18F9">
      <w:pPr>
        <w:pStyle w:val="Default"/>
        <w:jc w:val="right"/>
        <w:rPr>
          <w:rFonts w:ascii="Arial" w:hAnsi="Arial" w:cs="Arial"/>
          <w:sz w:val="22"/>
          <w:szCs w:val="22"/>
          <w:lang w:val="lv-LV"/>
        </w:rPr>
      </w:pPr>
      <w:r w:rsidRPr="00A062F4">
        <w:rPr>
          <w:rFonts w:ascii="Arial" w:hAnsi="Arial" w:cs="Arial"/>
          <w:sz w:val="22"/>
          <w:szCs w:val="22"/>
          <w:lang w:val="lv-LV"/>
        </w:rPr>
        <w:t>APSTIPRINĀTS</w:t>
      </w:r>
    </w:p>
    <w:p w14:paraId="144456EC" w14:textId="77777777" w:rsidR="008D18F9" w:rsidRPr="00A062F4" w:rsidRDefault="008D18F9" w:rsidP="008D18F9">
      <w:pPr>
        <w:pStyle w:val="Default"/>
        <w:jc w:val="right"/>
        <w:rPr>
          <w:rFonts w:ascii="Arial" w:hAnsi="Arial" w:cs="Arial"/>
          <w:sz w:val="22"/>
          <w:szCs w:val="22"/>
          <w:lang w:val="lv-LV"/>
        </w:rPr>
      </w:pPr>
      <w:r w:rsidRPr="00A062F4">
        <w:rPr>
          <w:rFonts w:ascii="Arial" w:hAnsi="Arial" w:cs="Arial"/>
          <w:sz w:val="22"/>
          <w:szCs w:val="22"/>
          <w:lang w:val="lv-LV"/>
        </w:rPr>
        <w:t>ar VAS “Latvijas dzelzceļš” iepirkuma komisijas</w:t>
      </w:r>
    </w:p>
    <w:p w14:paraId="1CC75EB9" w14:textId="77777777" w:rsidR="008D18F9" w:rsidRPr="00A062F4" w:rsidRDefault="008D18F9" w:rsidP="008D18F9">
      <w:pPr>
        <w:pStyle w:val="Default"/>
        <w:jc w:val="right"/>
        <w:rPr>
          <w:rFonts w:ascii="Arial" w:hAnsi="Arial" w:cs="Arial"/>
          <w:sz w:val="22"/>
          <w:szCs w:val="22"/>
          <w:lang w:val="lv-LV"/>
        </w:rPr>
      </w:pPr>
      <w:r w:rsidRPr="00A062F4">
        <w:rPr>
          <w:rFonts w:ascii="Arial" w:hAnsi="Arial" w:cs="Arial"/>
          <w:sz w:val="22"/>
          <w:szCs w:val="22"/>
          <w:lang w:val="lv-LV"/>
        </w:rPr>
        <w:t xml:space="preserve">2021.gada </w:t>
      </w:r>
      <w:r>
        <w:rPr>
          <w:rFonts w:ascii="Arial" w:hAnsi="Arial" w:cs="Arial"/>
          <w:sz w:val="22"/>
          <w:szCs w:val="22"/>
          <w:lang w:val="lv-LV"/>
        </w:rPr>
        <w:t>11</w:t>
      </w:r>
      <w:r w:rsidRPr="00A062F4">
        <w:rPr>
          <w:rFonts w:ascii="Arial" w:hAnsi="Arial" w:cs="Arial"/>
          <w:sz w:val="22"/>
          <w:szCs w:val="22"/>
          <w:lang w:val="lv-LV"/>
        </w:rPr>
        <w:t>.februāra 2.sēdes protokolu</w:t>
      </w:r>
    </w:p>
    <w:p w14:paraId="2789A185" w14:textId="77777777" w:rsidR="008D18F9" w:rsidRPr="00A062F4" w:rsidRDefault="008D18F9" w:rsidP="008D18F9">
      <w:pPr>
        <w:pStyle w:val="Default"/>
        <w:jc w:val="right"/>
        <w:rPr>
          <w:rFonts w:ascii="Arial" w:hAnsi="Arial" w:cs="Arial"/>
          <w:sz w:val="22"/>
          <w:szCs w:val="22"/>
          <w:lang w:val="lv-LV"/>
        </w:rPr>
      </w:pPr>
    </w:p>
    <w:p w14:paraId="66063BA3" w14:textId="77777777" w:rsidR="008D18F9" w:rsidRPr="00A062F4" w:rsidRDefault="008D18F9" w:rsidP="008D18F9">
      <w:pPr>
        <w:pStyle w:val="Default"/>
        <w:jc w:val="right"/>
        <w:rPr>
          <w:rFonts w:ascii="Arial" w:hAnsi="Arial" w:cs="Arial"/>
          <w:sz w:val="22"/>
          <w:szCs w:val="22"/>
          <w:lang w:val="lv-LV"/>
        </w:rPr>
      </w:pPr>
    </w:p>
    <w:p w14:paraId="182AD1A1" w14:textId="77777777" w:rsidR="008D18F9" w:rsidRPr="00A062F4" w:rsidRDefault="008D18F9" w:rsidP="008D18F9">
      <w:pPr>
        <w:pStyle w:val="Default"/>
        <w:ind w:left="567" w:right="799"/>
        <w:jc w:val="center"/>
        <w:rPr>
          <w:rFonts w:ascii="Arial" w:hAnsi="Arial" w:cs="Arial"/>
          <w:b/>
          <w:sz w:val="22"/>
          <w:szCs w:val="22"/>
          <w:lang w:val="lv-LV"/>
        </w:rPr>
      </w:pPr>
      <w:r w:rsidRPr="00A062F4">
        <w:rPr>
          <w:rFonts w:ascii="Arial" w:hAnsi="Arial" w:cs="Arial"/>
          <w:b/>
          <w:sz w:val="22"/>
          <w:szCs w:val="22"/>
          <w:lang w:val="lv-LV"/>
        </w:rPr>
        <w:t>Sarunu procedūrā ar publikāciju “Tehnisko gāzu produkcija”,</w:t>
      </w:r>
    </w:p>
    <w:p w14:paraId="3DB8D92B" w14:textId="77777777" w:rsidR="008D18F9" w:rsidRDefault="008D18F9" w:rsidP="008D18F9">
      <w:pPr>
        <w:pStyle w:val="Default"/>
        <w:ind w:left="567" w:right="799"/>
        <w:jc w:val="center"/>
        <w:rPr>
          <w:rFonts w:ascii="Arial" w:hAnsi="Arial" w:cs="Arial"/>
          <w:b/>
          <w:sz w:val="22"/>
          <w:szCs w:val="22"/>
          <w:lang w:val="lv-LV"/>
        </w:rPr>
      </w:pPr>
      <w:r w:rsidRPr="00A062F4">
        <w:rPr>
          <w:rFonts w:ascii="Arial" w:hAnsi="Arial" w:cs="Arial"/>
          <w:b/>
          <w:sz w:val="22"/>
          <w:szCs w:val="22"/>
          <w:lang w:val="lv-LV"/>
        </w:rPr>
        <w:t>iepirkuma identifikācijas Nr. LDZ 2021/4-IBz</w:t>
      </w:r>
    </w:p>
    <w:p w14:paraId="77700BA1" w14:textId="77777777" w:rsidR="008D18F9" w:rsidRPr="000873B6" w:rsidRDefault="008D18F9" w:rsidP="008D18F9">
      <w:pPr>
        <w:pStyle w:val="Default"/>
        <w:ind w:left="567" w:right="799"/>
        <w:jc w:val="center"/>
        <w:rPr>
          <w:rFonts w:ascii="Arial" w:hAnsi="Arial" w:cs="Arial"/>
          <w:bCs/>
          <w:sz w:val="22"/>
          <w:szCs w:val="22"/>
          <w:lang w:val="lv-LV"/>
        </w:rPr>
      </w:pPr>
      <w:r w:rsidRPr="000873B6">
        <w:rPr>
          <w:rFonts w:ascii="Arial" w:hAnsi="Arial" w:cs="Arial"/>
          <w:bCs/>
          <w:sz w:val="22"/>
          <w:szCs w:val="22"/>
          <w:lang w:val="lv-LV"/>
        </w:rPr>
        <w:t>(turpmāk – sarunu procedūra)</w:t>
      </w:r>
    </w:p>
    <w:p w14:paraId="207B047E" w14:textId="77777777" w:rsidR="008D18F9" w:rsidRPr="000873B6" w:rsidRDefault="008D18F9" w:rsidP="008D18F9">
      <w:pPr>
        <w:pStyle w:val="Default"/>
        <w:jc w:val="center"/>
        <w:rPr>
          <w:rFonts w:ascii="Arial" w:hAnsi="Arial" w:cs="Arial"/>
          <w:bCs/>
          <w:sz w:val="22"/>
          <w:szCs w:val="22"/>
          <w:lang w:val="lv-LV"/>
        </w:rPr>
      </w:pPr>
    </w:p>
    <w:p w14:paraId="2A6829EB" w14:textId="77777777" w:rsidR="008D18F9" w:rsidRPr="00A062F4" w:rsidRDefault="008D18F9" w:rsidP="008D18F9">
      <w:pPr>
        <w:pStyle w:val="Default"/>
        <w:jc w:val="center"/>
        <w:rPr>
          <w:rFonts w:ascii="Arial" w:hAnsi="Arial" w:cs="Arial"/>
          <w:b/>
          <w:smallCaps/>
          <w:sz w:val="22"/>
          <w:szCs w:val="22"/>
          <w:lang w:val="lv-LV"/>
        </w:rPr>
      </w:pPr>
      <w:r w:rsidRPr="00A062F4">
        <w:rPr>
          <w:rFonts w:ascii="Arial" w:hAnsi="Arial" w:cs="Arial"/>
          <w:b/>
          <w:smallCaps/>
          <w:sz w:val="22"/>
          <w:szCs w:val="22"/>
          <w:lang w:val="lv-LV"/>
        </w:rPr>
        <w:t>Skaidrojums Nr.1</w:t>
      </w:r>
    </w:p>
    <w:p w14:paraId="791CF588" w14:textId="77777777" w:rsidR="008D18F9" w:rsidRDefault="008D18F9" w:rsidP="008D18F9">
      <w:pPr>
        <w:pStyle w:val="Default"/>
        <w:jc w:val="center"/>
        <w:rPr>
          <w:rFonts w:ascii="Arial" w:hAnsi="Arial" w:cs="Arial"/>
          <w:bCs/>
          <w:sz w:val="22"/>
          <w:szCs w:val="22"/>
          <w:lang w:val="lv-LV"/>
        </w:rPr>
      </w:pPr>
    </w:p>
    <w:p w14:paraId="67046873" w14:textId="77777777" w:rsidR="008D18F9" w:rsidRPr="000873B6" w:rsidRDefault="008D18F9" w:rsidP="008D18F9">
      <w:pPr>
        <w:pStyle w:val="Default"/>
        <w:jc w:val="center"/>
        <w:rPr>
          <w:rFonts w:ascii="Arial" w:hAnsi="Arial" w:cs="Arial"/>
          <w:bCs/>
          <w:sz w:val="22"/>
          <w:szCs w:val="22"/>
          <w:lang w:val="lv-LV"/>
        </w:rPr>
      </w:pPr>
      <w:r w:rsidRPr="000873B6">
        <w:rPr>
          <w:rFonts w:ascii="Arial" w:hAnsi="Arial" w:cs="Arial"/>
          <w:bCs/>
          <w:sz w:val="22"/>
          <w:szCs w:val="22"/>
          <w:lang w:val="lv-LV"/>
        </w:rPr>
        <w:t>iepirkuma komisijas sniegtā</w:t>
      </w:r>
      <w:r>
        <w:rPr>
          <w:rFonts w:ascii="Arial" w:hAnsi="Arial" w:cs="Arial"/>
          <w:bCs/>
          <w:sz w:val="22"/>
          <w:szCs w:val="22"/>
          <w:lang w:val="lv-LV"/>
        </w:rPr>
        <w:t>s</w:t>
      </w:r>
      <w:r w:rsidRPr="000873B6">
        <w:rPr>
          <w:rFonts w:ascii="Arial" w:hAnsi="Arial" w:cs="Arial"/>
          <w:bCs/>
          <w:sz w:val="22"/>
          <w:szCs w:val="22"/>
          <w:lang w:val="lv-LV"/>
        </w:rPr>
        <w:t xml:space="preserve"> atbilde</w:t>
      </w:r>
      <w:r>
        <w:rPr>
          <w:rFonts w:ascii="Arial" w:hAnsi="Arial" w:cs="Arial"/>
          <w:bCs/>
          <w:sz w:val="22"/>
          <w:szCs w:val="22"/>
          <w:lang w:val="lv-LV"/>
        </w:rPr>
        <w:t xml:space="preserve">s pēc </w:t>
      </w:r>
      <w:r w:rsidRPr="000873B6">
        <w:rPr>
          <w:rFonts w:ascii="Arial" w:hAnsi="Arial" w:cs="Arial"/>
          <w:bCs/>
          <w:sz w:val="22"/>
          <w:szCs w:val="22"/>
          <w:lang w:val="lv-LV"/>
        </w:rPr>
        <w:t>ieinteresētā piegādātāja jautājum</w:t>
      </w:r>
      <w:r>
        <w:rPr>
          <w:rFonts w:ascii="Arial" w:hAnsi="Arial" w:cs="Arial"/>
          <w:bCs/>
          <w:sz w:val="22"/>
          <w:szCs w:val="22"/>
          <w:lang w:val="lv-LV"/>
        </w:rPr>
        <w:t xml:space="preserve">iem </w:t>
      </w:r>
      <w:r w:rsidRPr="000873B6">
        <w:rPr>
          <w:rFonts w:ascii="Arial" w:hAnsi="Arial" w:cs="Arial"/>
          <w:bCs/>
          <w:sz w:val="22"/>
          <w:szCs w:val="22"/>
          <w:lang w:val="lv-LV"/>
        </w:rPr>
        <w:t>(saņemts 09.02.2021.)</w:t>
      </w:r>
    </w:p>
    <w:tbl>
      <w:tblPr>
        <w:tblStyle w:val="TableGrid"/>
        <w:tblW w:w="9498" w:type="dxa"/>
        <w:tblInd w:w="-289" w:type="dxa"/>
        <w:tblLook w:val="04A0" w:firstRow="1" w:lastRow="0" w:firstColumn="1" w:lastColumn="0" w:noHBand="0" w:noVBand="1"/>
      </w:tblPr>
      <w:tblGrid>
        <w:gridCol w:w="564"/>
        <w:gridCol w:w="5249"/>
        <w:gridCol w:w="3685"/>
      </w:tblGrid>
      <w:tr w:rsidR="008D18F9" w:rsidRPr="00DF34F8" w14:paraId="4863830B" w14:textId="77777777" w:rsidTr="009E472F">
        <w:tc>
          <w:tcPr>
            <w:tcW w:w="564" w:type="dxa"/>
          </w:tcPr>
          <w:p w14:paraId="2F280255" w14:textId="77777777" w:rsidR="008D18F9" w:rsidRPr="00DF34F8" w:rsidRDefault="008D18F9" w:rsidP="009E472F">
            <w:pPr>
              <w:pStyle w:val="Default"/>
              <w:jc w:val="center"/>
              <w:rPr>
                <w:rFonts w:ascii="Arial" w:hAnsi="Arial" w:cs="Arial"/>
                <w:b/>
                <w:sz w:val="22"/>
                <w:szCs w:val="22"/>
                <w:lang w:val="lv-LV"/>
              </w:rPr>
            </w:pPr>
          </w:p>
        </w:tc>
        <w:tc>
          <w:tcPr>
            <w:tcW w:w="5249" w:type="dxa"/>
          </w:tcPr>
          <w:p w14:paraId="2CEE48B4" w14:textId="77777777" w:rsidR="008D18F9" w:rsidRPr="00DF34F8" w:rsidRDefault="008D18F9" w:rsidP="009E472F">
            <w:pPr>
              <w:pStyle w:val="Default"/>
              <w:jc w:val="center"/>
              <w:rPr>
                <w:rFonts w:ascii="Arial" w:hAnsi="Arial" w:cs="Arial"/>
                <w:b/>
                <w:sz w:val="22"/>
                <w:szCs w:val="22"/>
                <w:lang w:val="lv-LV"/>
              </w:rPr>
            </w:pPr>
            <w:r w:rsidRPr="00DF34F8">
              <w:rPr>
                <w:rFonts w:ascii="Arial" w:hAnsi="Arial" w:cs="Arial"/>
                <w:b/>
                <w:sz w:val="22"/>
                <w:szCs w:val="22"/>
                <w:lang w:val="lv-LV"/>
              </w:rPr>
              <w:t>Jautājums</w:t>
            </w:r>
          </w:p>
        </w:tc>
        <w:tc>
          <w:tcPr>
            <w:tcW w:w="3685" w:type="dxa"/>
          </w:tcPr>
          <w:p w14:paraId="4C67E25A" w14:textId="77777777" w:rsidR="008D18F9" w:rsidRPr="00DF34F8" w:rsidRDefault="008D18F9" w:rsidP="009E472F">
            <w:pPr>
              <w:pStyle w:val="Default"/>
              <w:jc w:val="center"/>
              <w:rPr>
                <w:rFonts w:ascii="Arial" w:hAnsi="Arial" w:cs="Arial"/>
                <w:b/>
                <w:sz w:val="22"/>
                <w:szCs w:val="22"/>
                <w:lang w:val="lv-LV"/>
              </w:rPr>
            </w:pPr>
            <w:r w:rsidRPr="00DF34F8">
              <w:rPr>
                <w:rFonts w:ascii="Arial" w:hAnsi="Arial" w:cs="Arial"/>
                <w:b/>
                <w:sz w:val="22"/>
                <w:szCs w:val="22"/>
                <w:lang w:val="lv-LV"/>
              </w:rPr>
              <w:t>Atbilde</w:t>
            </w:r>
          </w:p>
        </w:tc>
      </w:tr>
      <w:tr w:rsidR="008D18F9" w:rsidRPr="00A062F4" w14:paraId="13CADABA" w14:textId="77777777" w:rsidTr="009E472F">
        <w:tc>
          <w:tcPr>
            <w:tcW w:w="564" w:type="dxa"/>
          </w:tcPr>
          <w:p w14:paraId="2CA70980" w14:textId="77777777" w:rsidR="008D18F9" w:rsidRPr="00A062F4" w:rsidRDefault="008D18F9" w:rsidP="009E472F">
            <w:pPr>
              <w:pStyle w:val="Default"/>
              <w:ind w:firstLine="164"/>
              <w:jc w:val="both"/>
              <w:rPr>
                <w:rFonts w:ascii="Arial" w:hAnsi="Arial" w:cs="Arial"/>
                <w:sz w:val="22"/>
                <w:szCs w:val="22"/>
                <w:lang w:val="lv-LV"/>
              </w:rPr>
            </w:pPr>
            <w:r w:rsidRPr="00A062F4">
              <w:rPr>
                <w:rFonts w:ascii="Arial" w:hAnsi="Arial" w:cs="Arial"/>
                <w:sz w:val="22"/>
                <w:szCs w:val="22"/>
                <w:lang w:val="lv-LV"/>
              </w:rPr>
              <w:t>1.</w:t>
            </w:r>
          </w:p>
        </w:tc>
        <w:tc>
          <w:tcPr>
            <w:tcW w:w="5249" w:type="dxa"/>
          </w:tcPr>
          <w:p w14:paraId="1F243870" w14:textId="77777777" w:rsidR="008D18F9" w:rsidRPr="00DF34F8" w:rsidRDefault="008D18F9" w:rsidP="009E472F">
            <w:pPr>
              <w:ind w:firstLine="720"/>
              <w:rPr>
                <w:rFonts w:ascii="Arial" w:hAnsi="Arial" w:cs="Arial"/>
                <w:sz w:val="22"/>
              </w:rPr>
            </w:pPr>
            <w:r w:rsidRPr="00DF34F8">
              <w:rPr>
                <w:rFonts w:ascii="Arial" w:hAnsi="Arial" w:cs="Arial"/>
                <w:b/>
                <w:bCs/>
                <w:sz w:val="22"/>
              </w:rPr>
              <w:t>Par nolikuma punktiem 1.1.7.; 1.1.8.; 2.1.; 2.7.6.2</w:t>
            </w:r>
            <w:r w:rsidRPr="00DF34F8">
              <w:rPr>
                <w:rFonts w:ascii="Arial" w:hAnsi="Arial" w:cs="Arial"/>
                <w:sz w:val="22"/>
              </w:rPr>
              <w:t>. – tehniskās gāzes un tehnisko gāzu maisījumus nav iespējams pildīt sašķidrinātās naftas gāzes (SNG) balonos.</w:t>
            </w:r>
          </w:p>
          <w:p w14:paraId="4B95D85C" w14:textId="77777777" w:rsidR="008D18F9" w:rsidRPr="00DF34F8" w:rsidRDefault="008D18F9" w:rsidP="009E472F">
            <w:pPr>
              <w:rPr>
                <w:rFonts w:ascii="Arial" w:hAnsi="Arial" w:cs="Arial"/>
                <w:bCs/>
                <w:sz w:val="22"/>
              </w:rPr>
            </w:pPr>
            <w:r w:rsidRPr="00DF34F8">
              <w:rPr>
                <w:rFonts w:ascii="Arial" w:hAnsi="Arial" w:cs="Arial"/>
                <w:b/>
                <w:sz w:val="22"/>
              </w:rPr>
              <w:t xml:space="preserve">Sašķidrinātās naftas gāzes (SNG) baloni </w:t>
            </w:r>
            <w:r w:rsidRPr="00DF34F8">
              <w:rPr>
                <w:rFonts w:ascii="Arial" w:hAnsi="Arial" w:cs="Arial"/>
                <w:bCs/>
                <w:sz w:val="22"/>
              </w:rPr>
              <w:t xml:space="preserve">ir tērauda metināti gāzu baloni, darba spiediens </w:t>
            </w:r>
            <w:r w:rsidRPr="00DF34F8">
              <w:rPr>
                <w:rFonts w:ascii="Arial" w:hAnsi="Arial" w:cs="Arial"/>
                <w:b/>
                <w:sz w:val="22"/>
              </w:rPr>
              <w:t>15-20 bar</w:t>
            </w:r>
            <w:r w:rsidRPr="00DF34F8">
              <w:rPr>
                <w:rFonts w:ascii="Arial" w:hAnsi="Arial" w:cs="Arial"/>
                <w:bCs/>
                <w:sz w:val="22"/>
              </w:rPr>
              <w:t xml:space="preserve"> (zemspiediena). Pieejami arī kompozītu materiāla, alumīnija u.tml. SNG baloni.</w:t>
            </w:r>
          </w:p>
          <w:p w14:paraId="4E9A19B0" w14:textId="77777777" w:rsidR="008D18F9" w:rsidRPr="00DF34F8" w:rsidRDefault="008D18F9" w:rsidP="009E472F">
            <w:pPr>
              <w:rPr>
                <w:rFonts w:ascii="Arial" w:hAnsi="Arial" w:cs="Arial"/>
                <w:bCs/>
                <w:sz w:val="22"/>
              </w:rPr>
            </w:pPr>
            <w:r w:rsidRPr="00DF34F8">
              <w:rPr>
                <w:rFonts w:ascii="Arial" w:hAnsi="Arial" w:cs="Arial"/>
                <w:b/>
                <w:sz w:val="22"/>
              </w:rPr>
              <w:t>Augstspiediena tērauda baloni, tehniskajām gāzēm</w:t>
            </w:r>
            <w:r w:rsidRPr="00DF34F8">
              <w:rPr>
                <w:rFonts w:ascii="Arial" w:hAnsi="Arial" w:cs="Arial"/>
                <w:bCs/>
                <w:sz w:val="22"/>
              </w:rPr>
              <w:t xml:space="preserve"> ir bezšuvju tērauda augstspiediena baloni, darba spiediens </w:t>
            </w:r>
            <w:r w:rsidRPr="00DF34F8">
              <w:rPr>
                <w:rFonts w:ascii="Arial" w:hAnsi="Arial" w:cs="Arial"/>
                <w:b/>
                <w:sz w:val="22"/>
              </w:rPr>
              <w:t>200-300 bar</w:t>
            </w:r>
            <w:r w:rsidRPr="00DF34F8">
              <w:rPr>
                <w:rFonts w:ascii="Arial" w:hAnsi="Arial" w:cs="Arial"/>
                <w:bCs/>
                <w:sz w:val="22"/>
              </w:rPr>
              <w:t>. Pieejami arī kompozītu materiāla, alumīnija u.tml. 200-300 bar augstspiediena baloni.</w:t>
            </w:r>
          </w:p>
          <w:p w14:paraId="08D84DBB" w14:textId="77777777" w:rsidR="008D18F9" w:rsidRPr="00DF34F8" w:rsidRDefault="008D18F9" w:rsidP="009E472F">
            <w:pPr>
              <w:rPr>
                <w:rFonts w:ascii="Arial" w:hAnsi="Arial" w:cs="Arial"/>
                <w:bCs/>
                <w:sz w:val="22"/>
              </w:rPr>
            </w:pPr>
            <w:r w:rsidRPr="00DF34F8">
              <w:rPr>
                <w:rFonts w:ascii="Arial" w:hAnsi="Arial" w:cs="Arial"/>
                <w:b/>
                <w:sz w:val="22"/>
              </w:rPr>
              <w:t xml:space="preserve">SNG balonu (15-20 bar) </w:t>
            </w:r>
            <w:proofErr w:type="spellStart"/>
            <w:r w:rsidRPr="00DF34F8">
              <w:rPr>
                <w:rFonts w:ascii="Arial" w:hAnsi="Arial" w:cs="Arial"/>
                <w:b/>
                <w:sz w:val="22"/>
              </w:rPr>
              <w:t>uzpilde</w:t>
            </w:r>
            <w:proofErr w:type="spellEnd"/>
            <w:r w:rsidRPr="00DF34F8">
              <w:rPr>
                <w:rFonts w:ascii="Arial" w:hAnsi="Arial" w:cs="Arial"/>
                <w:b/>
                <w:sz w:val="22"/>
              </w:rPr>
              <w:t xml:space="preserve"> ar tehnisko gāzi (spiediens 200-300 bar) izraisītu šo SNG balonu eksploziju ar dramatiskām sekām</w:t>
            </w:r>
            <w:r w:rsidRPr="00DF34F8">
              <w:rPr>
                <w:rFonts w:ascii="Arial" w:hAnsi="Arial" w:cs="Arial"/>
                <w:bCs/>
                <w:sz w:val="22"/>
              </w:rPr>
              <w:t>!</w:t>
            </w:r>
          </w:p>
          <w:p w14:paraId="6D2ABBC6" w14:textId="77777777" w:rsidR="008D18F9" w:rsidRPr="00DF34F8" w:rsidRDefault="008D18F9" w:rsidP="009E472F">
            <w:pPr>
              <w:pStyle w:val="Default"/>
              <w:ind w:firstLine="164"/>
              <w:jc w:val="both"/>
              <w:rPr>
                <w:rFonts w:ascii="Arial" w:hAnsi="Arial" w:cs="Arial"/>
                <w:bCs/>
                <w:smallCaps/>
                <w:sz w:val="22"/>
                <w:szCs w:val="22"/>
                <w:lang w:val="lv-LV"/>
              </w:rPr>
            </w:pPr>
            <w:r w:rsidRPr="00DF34F8">
              <w:rPr>
                <w:rFonts w:ascii="Arial" w:hAnsi="Arial" w:cs="Arial"/>
                <w:bCs/>
                <w:sz w:val="22"/>
                <w:szCs w:val="22"/>
                <w:lang w:val="lv-LV"/>
              </w:rPr>
              <w:t xml:space="preserve">Gāzu nozares pamatprasība ir katru gāzi pildīt tikai šai gāzei speciāli paredzētās tilpnēs (balonos). Īpašu piesardzību prasa skābekļa balonu </w:t>
            </w:r>
            <w:proofErr w:type="spellStart"/>
            <w:r w:rsidRPr="00DF34F8">
              <w:rPr>
                <w:rFonts w:ascii="Arial" w:hAnsi="Arial" w:cs="Arial"/>
                <w:bCs/>
                <w:sz w:val="22"/>
                <w:szCs w:val="22"/>
                <w:lang w:val="lv-LV"/>
              </w:rPr>
              <w:t>uzpilde</w:t>
            </w:r>
            <w:proofErr w:type="spellEnd"/>
            <w:r w:rsidRPr="00DF34F8">
              <w:rPr>
                <w:rFonts w:ascii="Arial" w:hAnsi="Arial" w:cs="Arial"/>
                <w:bCs/>
                <w:sz w:val="22"/>
                <w:szCs w:val="22"/>
                <w:lang w:val="lv-LV"/>
              </w:rPr>
              <w:t xml:space="preserve"> - tā kontakts ar jebkuru organisku vielu, t.sk. ogļūdeņradi, sašķidrinātās naftas gāzi ieskaitot, pat mikro daudzumu, var izsaukt balona eksploziju.</w:t>
            </w:r>
          </w:p>
        </w:tc>
        <w:tc>
          <w:tcPr>
            <w:tcW w:w="3685" w:type="dxa"/>
          </w:tcPr>
          <w:p w14:paraId="1B7287A7" w14:textId="77777777" w:rsidR="008D18F9" w:rsidRPr="00DF34F8" w:rsidRDefault="008D18F9" w:rsidP="009E472F">
            <w:pPr>
              <w:ind w:firstLine="340"/>
              <w:rPr>
                <w:rFonts w:ascii="Arial" w:hAnsi="Arial" w:cs="Arial"/>
                <w:sz w:val="22"/>
              </w:rPr>
            </w:pPr>
            <w:r w:rsidRPr="00DF34F8">
              <w:rPr>
                <w:rFonts w:ascii="Arial" w:hAnsi="Arial" w:cs="Arial"/>
                <w:sz w:val="22"/>
              </w:rPr>
              <w:t>Skatīt sarunu procedūras nolikumā Grozījumus Nr.1.</w:t>
            </w:r>
          </w:p>
        </w:tc>
      </w:tr>
      <w:tr w:rsidR="008D18F9" w:rsidRPr="00A062F4" w14:paraId="3A5F8558" w14:textId="77777777" w:rsidTr="009E472F">
        <w:tc>
          <w:tcPr>
            <w:tcW w:w="564" w:type="dxa"/>
          </w:tcPr>
          <w:p w14:paraId="6835C8DE" w14:textId="77777777" w:rsidR="008D18F9" w:rsidRPr="00A062F4" w:rsidRDefault="008D18F9" w:rsidP="009E472F">
            <w:pPr>
              <w:pStyle w:val="Default"/>
              <w:ind w:firstLine="164"/>
              <w:jc w:val="both"/>
              <w:rPr>
                <w:rFonts w:ascii="Arial" w:hAnsi="Arial" w:cs="Arial"/>
                <w:sz w:val="22"/>
                <w:szCs w:val="22"/>
                <w:lang w:val="lv-LV"/>
              </w:rPr>
            </w:pPr>
            <w:r w:rsidRPr="00A062F4">
              <w:rPr>
                <w:rFonts w:ascii="Arial" w:hAnsi="Arial" w:cs="Arial"/>
                <w:sz w:val="22"/>
                <w:szCs w:val="22"/>
                <w:lang w:val="lv-LV"/>
              </w:rPr>
              <w:t>2.</w:t>
            </w:r>
          </w:p>
        </w:tc>
        <w:tc>
          <w:tcPr>
            <w:tcW w:w="5249" w:type="dxa"/>
          </w:tcPr>
          <w:p w14:paraId="7267C86F" w14:textId="77777777" w:rsidR="008D18F9" w:rsidRPr="00DF34F8" w:rsidRDefault="008D18F9" w:rsidP="009E472F">
            <w:pPr>
              <w:pStyle w:val="Default"/>
              <w:ind w:firstLine="164"/>
              <w:jc w:val="both"/>
              <w:rPr>
                <w:rFonts w:ascii="Arial" w:hAnsi="Arial" w:cs="Arial"/>
                <w:sz w:val="22"/>
                <w:szCs w:val="22"/>
                <w:lang w:val="lv-LV"/>
              </w:rPr>
            </w:pPr>
            <w:r w:rsidRPr="00DF34F8">
              <w:rPr>
                <w:rFonts w:ascii="Arial" w:hAnsi="Arial" w:cs="Arial"/>
                <w:b/>
                <w:bCs/>
                <w:sz w:val="22"/>
                <w:szCs w:val="22"/>
                <w:lang w:val="lv-LV"/>
              </w:rPr>
              <w:t xml:space="preserve">Par nolikuma punktu 1.7.2. – (..) </w:t>
            </w:r>
            <w:r w:rsidRPr="00DF34F8">
              <w:rPr>
                <w:rFonts w:ascii="Arial" w:hAnsi="Arial" w:cs="Arial"/>
                <w:sz w:val="22"/>
                <w:szCs w:val="22"/>
                <w:lang w:val="lv-LV"/>
              </w:rPr>
              <w:t>balonu piegādēm izmanto apakšuzņēmēju pakalpojums. Gāzu balonu transportēšanas izmaksas atstāj būtisku ietekmi uz mūsu kopējām izmaksām. Transportēšanas izmaksas tiek piestādītas atsevišķi no gāzes cenas, nodrošinot klientiem iespēju saņemt gāzes mūsu realizācijas punktos, izmantojot savu transportu.</w:t>
            </w:r>
          </w:p>
          <w:p w14:paraId="128137B9" w14:textId="77777777" w:rsidR="008D18F9" w:rsidRPr="00DF34F8" w:rsidRDefault="008D18F9" w:rsidP="009E472F">
            <w:pPr>
              <w:pStyle w:val="Default"/>
              <w:ind w:firstLine="164"/>
              <w:jc w:val="both"/>
              <w:rPr>
                <w:rFonts w:ascii="Arial" w:hAnsi="Arial" w:cs="Arial"/>
                <w:b/>
                <w:bCs/>
                <w:sz w:val="22"/>
                <w:szCs w:val="22"/>
                <w:lang w:val="lv-LV"/>
              </w:rPr>
            </w:pPr>
            <w:r w:rsidRPr="00DF34F8">
              <w:rPr>
                <w:rFonts w:ascii="Arial" w:hAnsi="Arial" w:cs="Arial"/>
                <w:sz w:val="22"/>
                <w:szCs w:val="22"/>
                <w:lang w:val="lv-LV"/>
              </w:rPr>
              <w:t>Ņemot vērā augstāk minēto, vēlamies aicināt izmainīt sarunu procedūras  nolikumu, izdalot gāzes, balonu nomas un transporta izmaksas atsevišķi.</w:t>
            </w:r>
          </w:p>
        </w:tc>
        <w:tc>
          <w:tcPr>
            <w:tcW w:w="3685" w:type="dxa"/>
          </w:tcPr>
          <w:p w14:paraId="02436F2E" w14:textId="77777777" w:rsidR="008D18F9" w:rsidRPr="00DF34F8" w:rsidRDefault="008D18F9" w:rsidP="009E472F">
            <w:pPr>
              <w:ind w:firstLine="482"/>
              <w:rPr>
                <w:rFonts w:ascii="Arial" w:hAnsi="Arial" w:cs="Arial"/>
                <w:sz w:val="22"/>
              </w:rPr>
            </w:pPr>
            <w:r w:rsidRPr="00DF34F8">
              <w:rPr>
                <w:rFonts w:ascii="Arial" w:hAnsi="Arial" w:cs="Arial"/>
                <w:sz w:val="22"/>
              </w:rPr>
              <w:t>Sarunu procedūras nolikums netiek grozīts</w:t>
            </w:r>
            <w:r w:rsidRPr="00DF34F8">
              <w:rPr>
                <w:rFonts w:ascii="Arial" w:hAnsi="Arial" w:cs="Arial"/>
                <w:b/>
                <w:bCs/>
                <w:sz w:val="22"/>
              </w:rPr>
              <w:t xml:space="preserve">. </w:t>
            </w:r>
            <w:r w:rsidRPr="00DF34F8">
              <w:rPr>
                <w:rFonts w:ascii="Arial" w:hAnsi="Arial" w:cs="Arial"/>
                <w:sz w:val="22"/>
              </w:rPr>
              <w:t>Atkārtoti apzinot un izvērtējot pasūtītāja vajadzības, sarunu procedūras iepirkuma komisija apstiprina un skaidro, ka piedāvājuma cenā jābūt iekļautām visām izmaksām, kas saistītas ar preces piegādi, tai skaitā transportēšanas izmaksas, saskaņā ar nolikuma 1.7.2.punktu.</w:t>
            </w:r>
          </w:p>
          <w:p w14:paraId="700CE950" w14:textId="77777777" w:rsidR="008D18F9" w:rsidRPr="00DF34F8" w:rsidRDefault="008D18F9" w:rsidP="009E472F">
            <w:pPr>
              <w:ind w:firstLine="482"/>
              <w:rPr>
                <w:rFonts w:ascii="Arial" w:hAnsi="Arial" w:cs="Arial"/>
                <w:sz w:val="22"/>
              </w:rPr>
            </w:pPr>
            <w:r w:rsidRPr="00DF34F8">
              <w:rPr>
                <w:rFonts w:ascii="Arial" w:hAnsi="Arial" w:cs="Arial"/>
                <w:sz w:val="22"/>
              </w:rPr>
              <w:t>Iepirkuma komisija pieņems piedāvājumu, ja pretendents uzskatāmībai būs informatīvi norādījis transportēšanas izmaksas atsevišķi, ievērojot nosacījumu, ka tās ieskaitītas preces cenā.</w:t>
            </w:r>
          </w:p>
        </w:tc>
      </w:tr>
    </w:tbl>
    <w:p w14:paraId="77E8CA34" w14:textId="77777777" w:rsidR="00A13EDF" w:rsidRPr="008D18F9" w:rsidRDefault="00A13EDF" w:rsidP="008D18F9">
      <w:bookmarkStart w:id="0" w:name="_GoBack"/>
      <w:bookmarkEnd w:id="0"/>
    </w:p>
    <w:sectPr w:rsidR="00A13EDF" w:rsidRPr="008D18F9" w:rsidSect="00255456">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DF"/>
    <w:rsid w:val="000873B6"/>
    <w:rsid w:val="000B6D2B"/>
    <w:rsid w:val="00145FEE"/>
    <w:rsid w:val="001B5AAD"/>
    <w:rsid w:val="002457B5"/>
    <w:rsid w:val="00255456"/>
    <w:rsid w:val="002B4A59"/>
    <w:rsid w:val="003F0A9B"/>
    <w:rsid w:val="007D7F72"/>
    <w:rsid w:val="00815677"/>
    <w:rsid w:val="00845445"/>
    <w:rsid w:val="008D18F9"/>
    <w:rsid w:val="009A1556"/>
    <w:rsid w:val="00A012D9"/>
    <w:rsid w:val="00A062F4"/>
    <w:rsid w:val="00A13EDF"/>
    <w:rsid w:val="00A85E59"/>
    <w:rsid w:val="00B41503"/>
    <w:rsid w:val="00BF00D0"/>
    <w:rsid w:val="00CD2519"/>
    <w:rsid w:val="00DA0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8267"/>
  <w15:chartTrackingRefBased/>
  <w15:docId w15:val="{13FC8ED9-CC36-4BBC-A7F1-3B610309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F4"/>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2F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A0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62F4"/>
    <w:rPr>
      <w:color w:val="0000FF"/>
      <w:u w:val="single"/>
    </w:rPr>
  </w:style>
  <w:style w:type="paragraph" w:styleId="BalloonText">
    <w:name w:val="Balloon Text"/>
    <w:basedOn w:val="Normal"/>
    <w:link w:val="BalloonTextChar"/>
    <w:uiPriority w:val="99"/>
    <w:semiHidden/>
    <w:unhideWhenUsed/>
    <w:rsid w:val="00CD2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1522</Words>
  <Characters>868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12</cp:revision>
  <dcterms:created xsi:type="dcterms:W3CDTF">2021-02-09T09:58:00Z</dcterms:created>
  <dcterms:modified xsi:type="dcterms:W3CDTF">2021-02-11T12:10:00Z</dcterms:modified>
</cp:coreProperties>
</file>