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D805" w14:textId="77777777" w:rsidR="00144C75" w:rsidRPr="00AB3184" w:rsidRDefault="00144C75" w:rsidP="00144C75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3E93E66C" w14:textId="783C6D94" w:rsidR="00144C75" w:rsidRPr="008951BD" w:rsidRDefault="00144C75" w:rsidP="00144C75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3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24.marta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4AFB9653" w14:textId="77777777" w:rsidR="00144C75" w:rsidRDefault="00144C75" w:rsidP="00144C75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73FBD2F4" w14:textId="4144B1FD" w:rsidR="0098236C" w:rsidRDefault="0098236C">
      <w:pPr>
        <w:rPr>
          <w:rFonts w:ascii="Arial" w:hAnsi="Arial" w:cs="Arial"/>
        </w:rPr>
      </w:pPr>
    </w:p>
    <w:p w14:paraId="036D0E0E" w14:textId="09C0EC15" w:rsidR="00144C75" w:rsidRDefault="00144C75">
      <w:pPr>
        <w:rPr>
          <w:rFonts w:ascii="Arial" w:hAnsi="Arial" w:cs="Arial"/>
        </w:rPr>
      </w:pPr>
    </w:p>
    <w:p w14:paraId="01BF60E7" w14:textId="77777777" w:rsidR="00144C75" w:rsidRPr="008B3C58" w:rsidRDefault="00144C75" w:rsidP="00144C75">
      <w:pPr>
        <w:jc w:val="center"/>
        <w:rPr>
          <w:b/>
        </w:rPr>
      </w:pPr>
      <w:r w:rsidRPr="008B3C58">
        <w:rPr>
          <w:b/>
        </w:rPr>
        <w:t>VAS </w:t>
      </w:r>
      <w:r w:rsidRPr="008B3C58">
        <w:rPr>
          <w:b/>
          <w:color w:val="222222"/>
        </w:rPr>
        <w:t>„</w:t>
      </w:r>
      <w:r w:rsidRPr="008B3C58">
        <w:rPr>
          <w:b/>
        </w:rPr>
        <w:t xml:space="preserve">Latvijas dzelzceļš” </w:t>
      </w:r>
    </w:p>
    <w:p w14:paraId="25F53FEF" w14:textId="77777777" w:rsidR="00144C75" w:rsidRPr="008B3C58" w:rsidRDefault="00144C75" w:rsidP="00144C75">
      <w:pPr>
        <w:ind w:left="142" w:right="-1"/>
        <w:jc w:val="center"/>
        <w:rPr>
          <w:b/>
        </w:rPr>
      </w:pPr>
      <w:r w:rsidRPr="008B3C58">
        <w:rPr>
          <w:b/>
        </w:rPr>
        <w:t>sarunu procedūras ar publikāciju</w:t>
      </w:r>
    </w:p>
    <w:p w14:paraId="4CA26847" w14:textId="77777777" w:rsidR="00144C75" w:rsidRPr="00FC2DE2" w:rsidRDefault="00144C75" w:rsidP="00144C75">
      <w:pPr>
        <w:ind w:left="284" w:right="282"/>
        <w:jc w:val="center"/>
        <w:rPr>
          <w:b/>
          <w:bCs/>
          <w:color w:val="222222"/>
          <w:szCs w:val="24"/>
        </w:rPr>
      </w:pPr>
      <w:r w:rsidRPr="0022667C">
        <w:rPr>
          <w:b/>
          <w:bCs/>
          <w:color w:val="222222"/>
          <w:szCs w:val="24"/>
        </w:rPr>
        <w:t>„</w:t>
      </w:r>
      <w:r w:rsidRPr="0022667C">
        <w:rPr>
          <w:b/>
          <w:bCs/>
          <w:color w:val="212529"/>
          <w:szCs w:val="24"/>
          <w:shd w:val="clear" w:color="auto" w:fill="FFFFFF"/>
        </w:rPr>
        <w:t xml:space="preserve">Tālvadības sistēmas ieviešana ar ātrdarbīgo slēdžu un atdalītāju nomaiņu kontakttīkla </w:t>
      </w:r>
      <w:r w:rsidRPr="00FC2DE2">
        <w:rPr>
          <w:b/>
          <w:bCs/>
          <w:color w:val="212529"/>
          <w:szCs w:val="24"/>
          <w:shd w:val="clear" w:color="auto" w:fill="FFFFFF"/>
        </w:rPr>
        <w:t>sekcionēšanas postenī KSP-1”</w:t>
      </w:r>
      <w:r w:rsidRPr="00FC2DE2">
        <w:rPr>
          <w:b/>
          <w:bCs/>
          <w:color w:val="222222"/>
          <w:szCs w:val="24"/>
        </w:rPr>
        <w:t xml:space="preserve"> </w:t>
      </w:r>
    </w:p>
    <w:p w14:paraId="0D873BF8" w14:textId="77777777" w:rsidR="00144C75" w:rsidRPr="002B2F73" w:rsidRDefault="00144C75" w:rsidP="00144C75">
      <w:pPr>
        <w:ind w:left="284" w:right="282"/>
        <w:jc w:val="center"/>
        <w:rPr>
          <w:color w:val="212529"/>
          <w:szCs w:val="24"/>
          <w:shd w:val="clear" w:color="auto" w:fill="FFFFFF"/>
        </w:rPr>
      </w:pPr>
      <w:r w:rsidRPr="00FC2DE2">
        <w:rPr>
          <w:color w:val="222222"/>
          <w:szCs w:val="24"/>
        </w:rPr>
        <w:t>(turpmāk – sarunu procedūra)</w:t>
      </w:r>
    </w:p>
    <w:p w14:paraId="18145A36" w14:textId="77777777" w:rsidR="00144C75" w:rsidRDefault="00144C75" w:rsidP="00144C75">
      <w:pPr>
        <w:ind w:left="284" w:right="282"/>
        <w:jc w:val="center"/>
        <w:rPr>
          <w:rFonts w:eastAsia="Calibri"/>
          <w:b/>
        </w:rPr>
      </w:pPr>
    </w:p>
    <w:p w14:paraId="5FD5772C" w14:textId="77777777" w:rsidR="00144C75" w:rsidRPr="00E308A2" w:rsidRDefault="00144C75" w:rsidP="00144C75">
      <w:pPr>
        <w:ind w:left="284" w:right="282"/>
        <w:jc w:val="center"/>
        <w:rPr>
          <w:rFonts w:eastAsia="Calibri"/>
          <w:b/>
        </w:rPr>
      </w:pPr>
      <w:r w:rsidRPr="00681731">
        <w:rPr>
          <w:rFonts w:eastAsia="Calibri"/>
          <w:b/>
        </w:rPr>
        <w:t>Skaidrojums Nr.</w:t>
      </w:r>
      <w:r>
        <w:rPr>
          <w:rFonts w:eastAsia="Calibri"/>
          <w:b/>
        </w:rPr>
        <w:t>1</w:t>
      </w:r>
    </w:p>
    <w:p w14:paraId="1B49BD9C" w14:textId="77777777" w:rsidR="00144C75" w:rsidRPr="00291EAB" w:rsidRDefault="00144C75" w:rsidP="00144C75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983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4444"/>
      </w:tblGrid>
      <w:tr w:rsidR="00144C75" w:rsidRPr="006C6AAF" w14:paraId="0DA6DD48" w14:textId="77777777" w:rsidTr="00144C75">
        <w:trPr>
          <w:trHeight w:val="635"/>
        </w:trPr>
        <w:tc>
          <w:tcPr>
            <w:tcW w:w="709" w:type="dxa"/>
            <w:shd w:val="clear" w:color="auto" w:fill="FFF2CC"/>
            <w:vAlign w:val="center"/>
          </w:tcPr>
          <w:p w14:paraId="76FBCF5A" w14:textId="77777777" w:rsidR="00144C75" w:rsidRPr="00937D5B" w:rsidRDefault="00144C75" w:rsidP="00355B94">
            <w:pPr>
              <w:jc w:val="center"/>
              <w:rPr>
                <w:rFonts w:eastAsia="Calibri"/>
                <w:b/>
              </w:rPr>
            </w:pPr>
            <w:r w:rsidRPr="00937D5B">
              <w:rPr>
                <w:rFonts w:eastAsia="Calibri"/>
                <w:b/>
              </w:rPr>
              <w:t>Nr.</w:t>
            </w:r>
          </w:p>
          <w:p w14:paraId="354EAD0D" w14:textId="77777777" w:rsidR="00144C75" w:rsidRPr="00937D5B" w:rsidRDefault="00144C75" w:rsidP="00355B94">
            <w:pPr>
              <w:jc w:val="center"/>
              <w:rPr>
                <w:rFonts w:eastAsia="Calibri"/>
                <w:b/>
              </w:rPr>
            </w:pPr>
            <w:r w:rsidRPr="00937D5B">
              <w:rPr>
                <w:rFonts w:eastAsia="Calibri"/>
                <w:b/>
              </w:rPr>
              <w:t>p.k.</w:t>
            </w:r>
          </w:p>
        </w:tc>
        <w:tc>
          <w:tcPr>
            <w:tcW w:w="4678" w:type="dxa"/>
            <w:shd w:val="clear" w:color="auto" w:fill="FFF2CC"/>
            <w:vAlign w:val="center"/>
          </w:tcPr>
          <w:p w14:paraId="2651A138" w14:textId="77777777" w:rsidR="00144C75" w:rsidRPr="00937D5B" w:rsidRDefault="00144C75" w:rsidP="00355B94">
            <w:pPr>
              <w:jc w:val="center"/>
              <w:rPr>
                <w:rFonts w:eastAsia="Calibri"/>
                <w:b/>
                <w:i/>
              </w:rPr>
            </w:pPr>
            <w:r w:rsidRPr="00937D5B">
              <w:rPr>
                <w:rFonts w:eastAsia="Calibri"/>
                <w:b/>
                <w:i/>
              </w:rPr>
              <w:t>Jautājums</w:t>
            </w:r>
          </w:p>
        </w:tc>
        <w:tc>
          <w:tcPr>
            <w:tcW w:w="4444" w:type="dxa"/>
            <w:shd w:val="clear" w:color="auto" w:fill="FFF2CC"/>
            <w:vAlign w:val="center"/>
          </w:tcPr>
          <w:p w14:paraId="24A29E7D" w14:textId="77777777" w:rsidR="00144C75" w:rsidRPr="00937D5B" w:rsidRDefault="00144C75" w:rsidP="00355B94">
            <w:pPr>
              <w:jc w:val="center"/>
              <w:rPr>
                <w:rFonts w:eastAsia="Calibri"/>
                <w:b/>
                <w:i/>
              </w:rPr>
            </w:pPr>
            <w:r w:rsidRPr="00937D5B">
              <w:rPr>
                <w:rFonts w:eastAsia="Calibri"/>
                <w:b/>
                <w:i/>
              </w:rPr>
              <w:t>Atbilde</w:t>
            </w:r>
          </w:p>
        </w:tc>
      </w:tr>
      <w:tr w:rsidR="00144C75" w:rsidRPr="006C6AAF" w14:paraId="072D04C2" w14:textId="77777777" w:rsidTr="00144C75">
        <w:trPr>
          <w:trHeight w:val="1070"/>
        </w:trPr>
        <w:tc>
          <w:tcPr>
            <w:tcW w:w="709" w:type="dxa"/>
            <w:shd w:val="clear" w:color="auto" w:fill="auto"/>
          </w:tcPr>
          <w:p w14:paraId="5583CBA7" w14:textId="77777777" w:rsidR="00144C75" w:rsidRPr="00FC5D43" w:rsidRDefault="00144C75" w:rsidP="00355B94">
            <w:pPr>
              <w:jc w:val="center"/>
              <w:rPr>
                <w:rFonts w:eastAsia="Calibri"/>
              </w:rPr>
            </w:pPr>
            <w:r w:rsidRPr="00FC5D43">
              <w:rPr>
                <w:rFonts w:eastAsia="Calibri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3C289DDC" w14:textId="77777777" w:rsidR="00144C75" w:rsidRPr="00937D5B" w:rsidRDefault="00144C75" w:rsidP="00355B94">
            <w:pPr>
              <w:rPr>
                <w:rFonts w:eastAsia="Times New Roman"/>
                <w:szCs w:val="24"/>
              </w:rPr>
            </w:pPr>
            <w:r w:rsidRPr="006C2F99">
              <w:rPr>
                <w:rFonts w:eastAsia="MS Gothic"/>
                <w:szCs w:val="24"/>
              </w:rPr>
              <w:t xml:space="preserve">Saskaņā ar </w:t>
            </w:r>
            <w:r>
              <w:rPr>
                <w:rFonts w:eastAsia="MS Gothic"/>
                <w:szCs w:val="24"/>
              </w:rPr>
              <w:t>n</w:t>
            </w:r>
            <w:r w:rsidRPr="006C2F99">
              <w:rPr>
                <w:rFonts w:eastAsia="MS Gothic"/>
                <w:szCs w:val="24"/>
              </w:rPr>
              <w:t>olikuma 1.pielikum</w:t>
            </w:r>
            <w:r>
              <w:rPr>
                <w:rFonts w:eastAsia="MS Gothic"/>
                <w:szCs w:val="24"/>
              </w:rPr>
              <w:t xml:space="preserve">a </w:t>
            </w:r>
            <w:r w:rsidRPr="006C2F99">
              <w:rPr>
                <w:rFonts w:eastAsia="MS Gothic"/>
                <w:szCs w:val="24"/>
              </w:rPr>
              <w:t xml:space="preserve">pretendentu kvalifikācijas atlases prasībām, kuras minētas punktā Nr. 4.3, pretendenta iepriekšējai pieredzei ir jābūt vienam objektam pēdējo piecu gadu laikā. Lūgums, </w:t>
            </w:r>
            <w:r>
              <w:rPr>
                <w:rFonts w:eastAsia="MS Gothic"/>
                <w:szCs w:val="24"/>
              </w:rPr>
              <w:t>n</w:t>
            </w:r>
            <w:r w:rsidRPr="006C2F99">
              <w:rPr>
                <w:rFonts w:eastAsia="MS Gothic"/>
                <w:szCs w:val="24"/>
              </w:rPr>
              <w:t>olikuma punktos Nr. 4.6 un 4.7 par minēto speciālistu (projekta vadītājs un darbu vadītājs) pieredzi iepriekšējo 3 gadu laikā, mainīt uz 5</w:t>
            </w:r>
            <w:r>
              <w:rPr>
                <w:rFonts w:eastAsia="MS Gothic"/>
                <w:szCs w:val="24"/>
              </w:rPr>
              <w:t xml:space="preserve"> </w:t>
            </w:r>
            <w:r w:rsidRPr="006C2F99">
              <w:rPr>
                <w:rFonts w:eastAsia="MS Gothic"/>
                <w:szCs w:val="24"/>
              </w:rPr>
              <w:t>gadu termiņiem</w:t>
            </w:r>
            <w:r>
              <w:rPr>
                <w:rFonts w:eastAsia="MS Gothic"/>
                <w:szCs w:val="24"/>
              </w:rPr>
              <w:t xml:space="preserve"> - </w:t>
            </w:r>
            <w:r w:rsidRPr="006C2F99">
              <w:rPr>
                <w:rFonts w:eastAsia="MS Gothic"/>
                <w:szCs w:val="24"/>
              </w:rPr>
              <w:t xml:space="preserve"> līdzvērtīgi kā uzņēmuma (pretendenta) iepriekšējai pieredzei.</w:t>
            </w:r>
          </w:p>
        </w:tc>
        <w:tc>
          <w:tcPr>
            <w:tcW w:w="4444" w:type="dxa"/>
            <w:shd w:val="clear" w:color="auto" w:fill="auto"/>
          </w:tcPr>
          <w:p w14:paraId="7D3CD2BD" w14:textId="77777777" w:rsidR="00144C75" w:rsidRPr="00941484" w:rsidRDefault="00144C75" w:rsidP="00355B94">
            <w:pPr>
              <w:rPr>
                <w:rFonts w:eastAsia="Times New Roman"/>
              </w:rPr>
            </w:pPr>
            <w:r>
              <w:t>Lūdzam skatīt sarunu procedūras Grozījumus Nr.1.</w:t>
            </w:r>
          </w:p>
          <w:p w14:paraId="216DAA5A" w14:textId="77777777" w:rsidR="00144C75" w:rsidRPr="00F12DE2" w:rsidRDefault="00144C75" w:rsidP="00355B94">
            <w:pPr>
              <w:pStyle w:val="Sarakstarindkopa"/>
              <w:tabs>
                <w:tab w:val="left" w:pos="567"/>
              </w:tabs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44C75" w:rsidRPr="006C6AAF" w14:paraId="6CC9489C" w14:textId="77777777" w:rsidTr="00144C75">
        <w:trPr>
          <w:trHeight w:val="1070"/>
        </w:trPr>
        <w:tc>
          <w:tcPr>
            <w:tcW w:w="709" w:type="dxa"/>
            <w:shd w:val="clear" w:color="auto" w:fill="auto"/>
          </w:tcPr>
          <w:p w14:paraId="651C3395" w14:textId="77777777" w:rsidR="00144C75" w:rsidRPr="00FC5D43" w:rsidRDefault="00144C75" w:rsidP="00355B94">
            <w:pPr>
              <w:jc w:val="center"/>
              <w:rPr>
                <w:rFonts w:eastAsia="Calibri"/>
              </w:rPr>
            </w:pPr>
            <w:r w:rsidRPr="00FC5D43">
              <w:rPr>
                <w:rFonts w:eastAsia="Calibri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05F3C24F" w14:textId="77777777" w:rsidR="00144C75" w:rsidRPr="00F12DE2" w:rsidRDefault="00144C75" w:rsidP="00355B94">
            <w:pPr>
              <w:rPr>
                <w:szCs w:val="24"/>
                <w:highlight w:val="yellow"/>
              </w:rPr>
            </w:pPr>
            <w:r w:rsidRPr="006C2F99">
              <w:rPr>
                <w:rFonts w:eastAsia="MS Gothic"/>
                <w:szCs w:val="24"/>
              </w:rPr>
              <w:t>Nolikuma 2.pielikumā ir minēts, ka samaksas noteikumi ir ne mazāk kā 30 dienas pēc darbu pieņemšanas un nodošanas dokumenta parakstīšanas un rēķina saņemšanas. Lūgums pārskatīt apmaksas noteikumus uz forma 2 – rēķinu izrakstīšana par noteiktā periodā veiktajiem darbiem un/vai piegādātajiem materiāliem.</w:t>
            </w:r>
          </w:p>
        </w:tc>
        <w:tc>
          <w:tcPr>
            <w:tcW w:w="4444" w:type="dxa"/>
            <w:shd w:val="clear" w:color="auto" w:fill="auto"/>
          </w:tcPr>
          <w:p w14:paraId="737208BE" w14:textId="77777777" w:rsidR="00144C75" w:rsidRPr="00941484" w:rsidRDefault="00144C75" w:rsidP="00355B94">
            <w:pPr>
              <w:rPr>
                <w:rFonts w:eastAsia="Times New Roman"/>
              </w:rPr>
            </w:pPr>
            <w:r>
              <w:t>Lūdzam skatīt sarunu procedūras Grozījumus Nr.1.</w:t>
            </w:r>
          </w:p>
          <w:p w14:paraId="78C65C21" w14:textId="77777777" w:rsidR="00144C75" w:rsidRPr="00F12DE2" w:rsidRDefault="00144C75" w:rsidP="00355B94">
            <w:pPr>
              <w:rPr>
                <w:rFonts w:eastAsia="Times New Roman"/>
                <w:szCs w:val="24"/>
                <w:highlight w:val="yellow"/>
              </w:rPr>
            </w:pPr>
          </w:p>
        </w:tc>
      </w:tr>
      <w:tr w:rsidR="00144C75" w:rsidRPr="006C6AAF" w14:paraId="68E06706" w14:textId="77777777" w:rsidTr="00144C75">
        <w:trPr>
          <w:trHeight w:val="1070"/>
        </w:trPr>
        <w:tc>
          <w:tcPr>
            <w:tcW w:w="709" w:type="dxa"/>
            <w:shd w:val="clear" w:color="auto" w:fill="auto"/>
          </w:tcPr>
          <w:p w14:paraId="00F374CC" w14:textId="77777777" w:rsidR="00144C75" w:rsidRPr="00FC5D43" w:rsidRDefault="00144C75" w:rsidP="00355B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16D46DC9" w14:textId="77777777" w:rsidR="00144C75" w:rsidRPr="006C2F99" w:rsidRDefault="00144C75" w:rsidP="00355B94">
            <w:pPr>
              <w:rPr>
                <w:rFonts w:eastAsia="MS Gothic"/>
                <w:szCs w:val="24"/>
              </w:rPr>
            </w:pPr>
            <w:r w:rsidRPr="006C2F99">
              <w:rPr>
                <w:rFonts w:eastAsia="MS Gothic"/>
                <w:szCs w:val="24"/>
              </w:rPr>
              <w:t>Vai pretendents ir tiesīgs piedāvāt tehniskā piedāvājuma variantus – piem.</w:t>
            </w:r>
            <w:r>
              <w:rPr>
                <w:rFonts w:eastAsia="MS Gothic"/>
                <w:szCs w:val="24"/>
              </w:rPr>
              <w:t>,</w:t>
            </w:r>
            <w:r w:rsidRPr="006C2F99">
              <w:rPr>
                <w:rFonts w:eastAsia="MS Gothic"/>
                <w:szCs w:val="24"/>
              </w:rPr>
              <w:t xml:space="preserve"> esošo iekārtu daļēja nomaiņa atbilstoši TS vai tipveida nokomplektētās konteinera apakšstacijas /slēgiekārtas piegāde?</w:t>
            </w:r>
          </w:p>
        </w:tc>
        <w:tc>
          <w:tcPr>
            <w:tcW w:w="4444" w:type="dxa"/>
            <w:shd w:val="clear" w:color="auto" w:fill="auto"/>
          </w:tcPr>
          <w:p w14:paraId="6E8469EC" w14:textId="77777777" w:rsidR="00144C75" w:rsidRPr="00160469" w:rsidRDefault="00144C75" w:rsidP="00355B94">
            <w:pPr>
              <w:rPr>
                <w:szCs w:val="24"/>
              </w:rPr>
            </w:pPr>
            <w:r w:rsidRPr="00160469">
              <w:rPr>
                <w:szCs w:val="24"/>
              </w:rPr>
              <w:t>Skaidrojam, ka pretendents var piedāvāt tehniskā piedāvājuma vienu vai vairākus variantus atbilstoši sarunu procedūras nolikuma Tehnisk</w:t>
            </w:r>
            <w:r>
              <w:rPr>
                <w:szCs w:val="24"/>
              </w:rPr>
              <w:t>ajā</w:t>
            </w:r>
            <w:r w:rsidRPr="00160469">
              <w:rPr>
                <w:szCs w:val="24"/>
              </w:rPr>
              <w:t xml:space="preserve"> specifikācijā noradītajiem tehniskajiem parametriem, bet ar nosacījumu, ka tiek iesniegts </w:t>
            </w:r>
            <w:r w:rsidRPr="00160469">
              <w:rPr>
                <w:szCs w:val="24"/>
                <w:u w:val="single"/>
              </w:rPr>
              <w:t xml:space="preserve">tikai </w:t>
            </w:r>
            <w:r w:rsidRPr="00160469">
              <w:rPr>
                <w:szCs w:val="24"/>
                <w:u w:val="single"/>
                <w:shd w:val="clear" w:color="auto" w:fill="FFFFFF"/>
              </w:rPr>
              <w:t>viens finanšu piedāvājums</w:t>
            </w:r>
            <w:r w:rsidRPr="00160469">
              <w:rPr>
                <w:szCs w:val="24"/>
                <w:shd w:val="clear" w:color="auto" w:fill="FFFFFF"/>
              </w:rPr>
              <w:t xml:space="preserve"> (</w:t>
            </w:r>
            <w:r>
              <w:rPr>
                <w:szCs w:val="24"/>
                <w:shd w:val="clear" w:color="auto" w:fill="FFFFFF"/>
              </w:rPr>
              <w:t xml:space="preserve">viena piedāvājuma </w:t>
            </w:r>
            <w:r w:rsidRPr="00160469">
              <w:rPr>
                <w:szCs w:val="24"/>
                <w:shd w:val="clear" w:color="auto" w:fill="FFFFFF"/>
              </w:rPr>
              <w:t>cena).</w:t>
            </w:r>
          </w:p>
        </w:tc>
      </w:tr>
    </w:tbl>
    <w:p w14:paraId="492D8F8F" w14:textId="77777777" w:rsidR="00144C75" w:rsidRPr="00C20434" w:rsidRDefault="00144C75">
      <w:pPr>
        <w:rPr>
          <w:rFonts w:ascii="Arial" w:hAnsi="Arial" w:cs="Arial"/>
        </w:rPr>
      </w:pPr>
    </w:p>
    <w:sectPr w:rsidR="00144C75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75"/>
    <w:rsid w:val="00144C75"/>
    <w:rsid w:val="003204EA"/>
    <w:rsid w:val="0098236C"/>
    <w:rsid w:val="00C20434"/>
    <w:rsid w:val="00F2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40FB"/>
  <w15:chartTrackingRefBased/>
  <w15:docId w15:val="{E493F407-CD50-4DB0-8680-22C0A8AD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44C7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uiPriority w:val="34"/>
    <w:qFormat/>
    <w:rsid w:val="00144C75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144C75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600</Characters>
  <Application>Microsoft Office Word</Application>
  <DocSecurity>0</DocSecurity>
  <Lines>5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2023-03-24T11:51:00Z</dcterms:created>
  <dcterms:modified xsi:type="dcterms:W3CDTF">2023-03-24T11:51:00Z</dcterms:modified>
</cp:coreProperties>
</file>