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730D" w14:textId="77777777" w:rsidR="008708BB" w:rsidRPr="00AB3184" w:rsidRDefault="008708BB" w:rsidP="008708BB">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540E8AA5" w14:textId="51FD5CE0" w:rsidR="008708BB" w:rsidRPr="008951BD" w:rsidRDefault="008708BB" w:rsidP="008708BB">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2</w:t>
      </w:r>
      <w:r w:rsidRPr="00AB3184">
        <w:rPr>
          <w:rFonts w:eastAsia="Arial Unicode MS"/>
          <w:i/>
          <w:szCs w:val="24"/>
          <w:lang w:eastAsia="lv-LV"/>
        </w:rPr>
        <w:t xml:space="preserve">.gada </w:t>
      </w:r>
      <w:r>
        <w:rPr>
          <w:rFonts w:eastAsia="Arial Unicode MS"/>
          <w:i/>
          <w:szCs w:val="24"/>
          <w:lang w:eastAsia="lv-LV"/>
        </w:rPr>
        <w:t>20.decembra</w:t>
      </w:r>
      <w:r w:rsidRPr="008951BD">
        <w:rPr>
          <w:rFonts w:eastAsia="Arial Unicode MS"/>
          <w:i/>
          <w:szCs w:val="24"/>
          <w:lang w:eastAsia="lv-LV"/>
        </w:rPr>
        <w:t xml:space="preserve"> </w:t>
      </w:r>
    </w:p>
    <w:p w14:paraId="4CE9BC60" w14:textId="77777777" w:rsidR="008708BB" w:rsidRDefault="008708BB" w:rsidP="008708BB">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31E2CD7C" w14:textId="4E072FD2" w:rsidR="0098236C" w:rsidRDefault="0098236C">
      <w:pPr>
        <w:rPr>
          <w:rFonts w:ascii="Arial" w:hAnsi="Arial" w:cs="Arial"/>
        </w:rPr>
      </w:pPr>
    </w:p>
    <w:p w14:paraId="04C269C7" w14:textId="3160ACA5" w:rsidR="008708BB" w:rsidRDefault="008708BB">
      <w:pPr>
        <w:rPr>
          <w:rFonts w:ascii="Arial" w:hAnsi="Arial" w:cs="Arial"/>
        </w:rPr>
      </w:pPr>
    </w:p>
    <w:p w14:paraId="64CBF601" w14:textId="7FA969D0" w:rsidR="008708BB" w:rsidRDefault="008708BB">
      <w:pPr>
        <w:rPr>
          <w:rFonts w:ascii="Arial" w:hAnsi="Arial" w:cs="Arial"/>
        </w:rPr>
      </w:pPr>
    </w:p>
    <w:p w14:paraId="2DCA04D5" w14:textId="77777777" w:rsidR="008708BB" w:rsidRPr="00681731" w:rsidRDefault="008708BB" w:rsidP="008708BB">
      <w:pPr>
        <w:jc w:val="right"/>
        <w:rPr>
          <w:b/>
          <w:i/>
        </w:rPr>
      </w:pPr>
      <w:bookmarkStart w:id="0" w:name="_Hlk83811471"/>
    </w:p>
    <w:p w14:paraId="3A2821EA" w14:textId="77777777" w:rsidR="008708BB" w:rsidRPr="00681731" w:rsidRDefault="008708BB" w:rsidP="008708BB">
      <w:pPr>
        <w:jc w:val="center"/>
        <w:rPr>
          <w:b/>
        </w:rPr>
      </w:pPr>
      <w:r w:rsidRPr="00681731">
        <w:rPr>
          <w:b/>
        </w:rPr>
        <w:t>VAS </w:t>
      </w:r>
      <w:r w:rsidRPr="00681731">
        <w:rPr>
          <w:b/>
          <w:color w:val="222222"/>
        </w:rPr>
        <w:t>„</w:t>
      </w:r>
      <w:r w:rsidRPr="00681731">
        <w:rPr>
          <w:b/>
        </w:rPr>
        <w:t xml:space="preserve">Latvijas dzelzceļš” </w:t>
      </w:r>
    </w:p>
    <w:p w14:paraId="30A9F33D" w14:textId="77777777" w:rsidR="008708BB" w:rsidRPr="00681731" w:rsidRDefault="008708BB" w:rsidP="008708BB">
      <w:pPr>
        <w:ind w:left="142" w:right="-1"/>
        <w:jc w:val="center"/>
        <w:rPr>
          <w:b/>
        </w:rPr>
      </w:pPr>
      <w:r w:rsidRPr="00681731">
        <w:rPr>
          <w:b/>
        </w:rPr>
        <w:t>sarunu procedūras ar publikāciju</w:t>
      </w:r>
    </w:p>
    <w:p w14:paraId="02E52DDA" w14:textId="77777777" w:rsidR="008708BB" w:rsidRPr="00E6565A" w:rsidRDefault="008708BB" w:rsidP="008708BB">
      <w:pPr>
        <w:ind w:left="284" w:right="282"/>
        <w:jc w:val="center"/>
        <w:rPr>
          <w:b/>
          <w:bCs/>
          <w:color w:val="212529"/>
          <w:szCs w:val="24"/>
          <w:shd w:val="clear" w:color="auto" w:fill="FFFFFF"/>
        </w:rPr>
      </w:pPr>
      <w:r w:rsidRPr="00E6565A">
        <w:rPr>
          <w:b/>
          <w:bCs/>
          <w:color w:val="222222"/>
          <w:szCs w:val="24"/>
        </w:rPr>
        <w:t>„</w:t>
      </w:r>
      <w:r w:rsidRPr="00E6565A">
        <w:rPr>
          <w:b/>
          <w:bCs/>
          <w:color w:val="212529"/>
          <w:szCs w:val="24"/>
          <w:shd w:val="clear" w:color="auto" w:fill="FFFFFF"/>
        </w:rPr>
        <w:t>Dīzeļlokomotīvju bremžu aprīkojuma DAKO diagnostika, remonts un jauna bremžu aprīkojuma DAKO sistēmas komplekta iegāde</w:t>
      </w:r>
      <w:r w:rsidRPr="00E6565A">
        <w:rPr>
          <w:b/>
          <w:bCs/>
          <w:color w:val="222222"/>
          <w:szCs w:val="24"/>
        </w:rPr>
        <w:t xml:space="preserve"> SIA „LDZ ritošā sastāva serviss” vajadzībām</w:t>
      </w:r>
      <w:r w:rsidRPr="00E6565A">
        <w:rPr>
          <w:b/>
          <w:bCs/>
          <w:color w:val="212529"/>
          <w:szCs w:val="24"/>
          <w:shd w:val="clear" w:color="auto" w:fill="FFFFFF"/>
        </w:rPr>
        <w:t>”</w:t>
      </w:r>
    </w:p>
    <w:p w14:paraId="2D1CAAA3" w14:textId="77777777" w:rsidR="008708BB" w:rsidRPr="00F20F21" w:rsidRDefault="008708BB" w:rsidP="008708BB">
      <w:pPr>
        <w:ind w:left="284" w:right="282"/>
        <w:jc w:val="center"/>
        <w:rPr>
          <w:rFonts w:eastAsia="Calibri"/>
          <w:b/>
          <w:bCs/>
        </w:rPr>
      </w:pPr>
    </w:p>
    <w:p w14:paraId="3FCAE9A9" w14:textId="77777777" w:rsidR="008708BB" w:rsidRPr="00E308A2" w:rsidRDefault="008708BB" w:rsidP="008708BB">
      <w:pPr>
        <w:ind w:left="284" w:right="282"/>
        <w:jc w:val="center"/>
        <w:rPr>
          <w:rFonts w:eastAsia="Calibri"/>
          <w:b/>
        </w:rPr>
      </w:pPr>
      <w:r w:rsidRPr="00681731">
        <w:rPr>
          <w:rFonts w:eastAsia="Calibri"/>
          <w:b/>
        </w:rPr>
        <w:t>Skaidrojums Nr.</w:t>
      </w:r>
      <w:r>
        <w:rPr>
          <w:rFonts w:eastAsia="Calibri"/>
          <w:b/>
        </w:rPr>
        <w:t>1</w:t>
      </w:r>
    </w:p>
    <w:p w14:paraId="6672DCF2" w14:textId="77777777" w:rsidR="008708BB" w:rsidRPr="00291EAB" w:rsidRDefault="008708BB" w:rsidP="008708BB">
      <w:pPr>
        <w:ind w:left="284" w:right="282"/>
        <w:jc w:val="center"/>
        <w:rPr>
          <w:rFonts w:eastAsia="Calibri"/>
          <w:b/>
          <w:highlight w:val="yellow"/>
        </w:rPr>
      </w:pPr>
    </w:p>
    <w:tbl>
      <w:tblPr>
        <w:tblW w:w="996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243"/>
        <w:gridCol w:w="5057"/>
      </w:tblGrid>
      <w:tr w:rsidR="008708BB" w:rsidRPr="001B0D7A" w14:paraId="19F40653" w14:textId="77777777" w:rsidTr="008708BB">
        <w:trPr>
          <w:trHeight w:val="662"/>
        </w:trPr>
        <w:tc>
          <w:tcPr>
            <w:tcW w:w="664" w:type="dxa"/>
            <w:shd w:val="clear" w:color="auto" w:fill="FFF2CC"/>
            <w:vAlign w:val="center"/>
          </w:tcPr>
          <w:p w14:paraId="5F9326F9" w14:textId="77777777" w:rsidR="008708BB" w:rsidRPr="001B0D7A" w:rsidRDefault="008708BB" w:rsidP="003522C7">
            <w:pPr>
              <w:contextualSpacing/>
              <w:jc w:val="center"/>
              <w:rPr>
                <w:rFonts w:eastAsia="Calibri"/>
                <w:b/>
              </w:rPr>
            </w:pPr>
            <w:r w:rsidRPr="001B0D7A">
              <w:rPr>
                <w:rFonts w:eastAsia="Calibri"/>
                <w:b/>
              </w:rPr>
              <w:t>Nr.</w:t>
            </w:r>
          </w:p>
          <w:p w14:paraId="2B4B105A" w14:textId="77777777" w:rsidR="008708BB" w:rsidRPr="001B0D7A" w:rsidRDefault="008708BB" w:rsidP="003522C7">
            <w:pPr>
              <w:contextualSpacing/>
              <w:jc w:val="center"/>
              <w:rPr>
                <w:rFonts w:eastAsia="Calibri"/>
                <w:b/>
              </w:rPr>
            </w:pPr>
            <w:r w:rsidRPr="001B0D7A">
              <w:rPr>
                <w:rFonts w:eastAsia="Calibri"/>
                <w:b/>
              </w:rPr>
              <w:t>p.k.</w:t>
            </w:r>
          </w:p>
        </w:tc>
        <w:tc>
          <w:tcPr>
            <w:tcW w:w="4243" w:type="dxa"/>
            <w:shd w:val="clear" w:color="auto" w:fill="FFF2CC"/>
            <w:vAlign w:val="center"/>
          </w:tcPr>
          <w:p w14:paraId="79BF03C4" w14:textId="77777777" w:rsidR="008708BB" w:rsidRPr="000323C7" w:rsidRDefault="008708BB" w:rsidP="003522C7">
            <w:pPr>
              <w:contextualSpacing/>
              <w:jc w:val="center"/>
              <w:rPr>
                <w:rFonts w:eastAsia="Calibri"/>
                <w:b/>
                <w:i/>
                <w:highlight w:val="yellow"/>
              </w:rPr>
            </w:pPr>
            <w:r w:rsidRPr="0067028B">
              <w:rPr>
                <w:rFonts w:eastAsia="Calibri"/>
                <w:b/>
                <w:i/>
              </w:rPr>
              <w:t>Jautājums</w:t>
            </w:r>
          </w:p>
        </w:tc>
        <w:tc>
          <w:tcPr>
            <w:tcW w:w="5057" w:type="dxa"/>
            <w:shd w:val="clear" w:color="auto" w:fill="FFF2CC"/>
            <w:vAlign w:val="center"/>
          </w:tcPr>
          <w:p w14:paraId="30006373" w14:textId="77777777" w:rsidR="008708BB" w:rsidRPr="000323C7" w:rsidRDefault="008708BB" w:rsidP="003522C7">
            <w:pPr>
              <w:contextualSpacing/>
              <w:jc w:val="center"/>
              <w:rPr>
                <w:rFonts w:eastAsia="Calibri"/>
                <w:b/>
                <w:i/>
                <w:highlight w:val="yellow"/>
              </w:rPr>
            </w:pPr>
            <w:r w:rsidRPr="00D418FA">
              <w:rPr>
                <w:rFonts w:eastAsia="Calibri"/>
                <w:b/>
                <w:i/>
              </w:rPr>
              <w:t>Atbilde</w:t>
            </w:r>
          </w:p>
        </w:tc>
      </w:tr>
      <w:tr w:rsidR="008708BB" w:rsidRPr="001B0D7A" w14:paraId="0D65B724" w14:textId="77777777" w:rsidTr="008708BB">
        <w:trPr>
          <w:trHeight w:val="2859"/>
        </w:trPr>
        <w:tc>
          <w:tcPr>
            <w:tcW w:w="664" w:type="dxa"/>
            <w:shd w:val="clear" w:color="auto" w:fill="auto"/>
          </w:tcPr>
          <w:p w14:paraId="41A365EF" w14:textId="77777777" w:rsidR="008708BB" w:rsidRPr="001B0D7A" w:rsidRDefault="008708BB" w:rsidP="003522C7">
            <w:pPr>
              <w:contextualSpacing/>
              <w:jc w:val="center"/>
              <w:rPr>
                <w:rFonts w:eastAsia="Calibri"/>
              </w:rPr>
            </w:pPr>
            <w:r w:rsidRPr="001B0D7A">
              <w:rPr>
                <w:rFonts w:eastAsia="Calibri"/>
              </w:rPr>
              <w:t>1.</w:t>
            </w:r>
          </w:p>
        </w:tc>
        <w:tc>
          <w:tcPr>
            <w:tcW w:w="4243" w:type="dxa"/>
            <w:shd w:val="clear" w:color="auto" w:fill="auto"/>
          </w:tcPr>
          <w:p w14:paraId="348A5C1D" w14:textId="77777777" w:rsidR="008708BB" w:rsidRPr="00E6565A" w:rsidRDefault="008708BB" w:rsidP="003522C7">
            <w:pPr>
              <w:pStyle w:val="Default"/>
              <w:jc w:val="both"/>
            </w:pPr>
            <w:r w:rsidRPr="00E6565A">
              <w:t>Saskaņā ar šo noteikumu 1.4.1.punktu piedāvājumu plānots iesniegt papīra formā, vai ir iespējams iesniegt piedāvājumu pa e-pastu?</w:t>
            </w:r>
          </w:p>
        </w:tc>
        <w:tc>
          <w:tcPr>
            <w:tcW w:w="5057" w:type="dxa"/>
            <w:shd w:val="clear" w:color="auto" w:fill="auto"/>
          </w:tcPr>
          <w:p w14:paraId="3AFC99A8" w14:textId="77777777" w:rsidR="008708BB" w:rsidRPr="00E6565A" w:rsidRDefault="008708BB" w:rsidP="003522C7">
            <w:pPr>
              <w:rPr>
                <w:szCs w:val="24"/>
              </w:rPr>
            </w:pPr>
            <w:bookmarkStart w:id="1" w:name="_Hlk105084512"/>
            <w:r w:rsidRPr="00E6565A">
              <w:rPr>
                <w:szCs w:val="24"/>
              </w:rPr>
              <w:t>Skaidrojam, ka piedāvājumu var iesniegt arī elektroniski ar drošu elektronisko parakstu vai PDF formā (ja nepieciešams, aizsargājot ar</w:t>
            </w:r>
            <w:r w:rsidRPr="00E6565A">
              <w:rPr>
                <w:rFonts w:ascii="Arial" w:hAnsi="Arial" w:cs="Arial"/>
                <w:szCs w:val="24"/>
              </w:rPr>
              <w:t xml:space="preserve"> </w:t>
            </w:r>
            <w:r w:rsidRPr="00E6565A">
              <w:rPr>
                <w:szCs w:val="24"/>
              </w:rPr>
              <w:t xml:space="preserve">drošu elektronisku atslēgu un paroli (šādā gadījumā pretendents ir atbildīgs par aizpildāmo formu atbilstību dokumentācijas prasībām un formu paraugiem, kā arī dokumenta atvēršanas un nolasīšanas iespējām)), nosūtot to uz e-pasta adresēm: </w:t>
            </w:r>
            <w:r w:rsidRPr="00E6565A">
              <w:rPr>
                <w:i/>
                <w:iCs/>
                <w:szCs w:val="24"/>
              </w:rPr>
              <w:t>info@ldz.lv</w:t>
            </w:r>
            <w:bookmarkEnd w:id="1"/>
            <w:r w:rsidRPr="00E6565A">
              <w:rPr>
                <w:i/>
                <w:iCs/>
                <w:szCs w:val="24"/>
              </w:rPr>
              <w:t xml:space="preserve"> </w:t>
            </w:r>
            <w:r w:rsidRPr="00E6565A">
              <w:rPr>
                <w:szCs w:val="24"/>
              </w:rPr>
              <w:t xml:space="preserve">un </w:t>
            </w:r>
            <w:r w:rsidRPr="00E6565A">
              <w:rPr>
                <w:i/>
                <w:iCs/>
                <w:szCs w:val="24"/>
              </w:rPr>
              <w:t>santa.okure@ldz.lv</w:t>
            </w:r>
            <w:r w:rsidRPr="00E6565A">
              <w:rPr>
                <w:szCs w:val="24"/>
              </w:rPr>
              <w:t xml:space="preserve">. </w:t>
            </w:r>
          </w:p>
          <w:p w14:paraId="079F82B3" w14:textId="77777777" w:rsidR="008708BB" w:rsidRPr="00E6565A" w:rsidRDefault="008708BB" w:rsidP="003522C7">
            <w:pPr>
              <w:rPr>
                <w:szCs w:val="24"/>
              </w:rPr>
            </w:pPr>
            <w:r w:rsidRPr="00E6565A">
              <w:rPr>
                <w:szCs w:val="24"/>
              </w:rPr>
              <w:t>Iesniedzot piedāvājumu elektroniski pretendentam jāapzinās, ka šādā veidā netiek nodrošināta piedāvājuma satura neredzamība (konfidencialitāte), jo piedāvājuma teksts ir redzams uzreiz pēc atsūtīšanas. Pasūtītāja dokumentu vadības sistēma nespēj nodrošināt to, ka piedāvājums tiktu atvērts tikai norādītajā laikā. Ja pretendentam tā ir ērtāk un tas apzinās visus riskus, tiek pieļauta piedāvājuma iesniegšana elektroniskā veidā.</w:t>
            </w:r>
          </w:p>
        </w:tc>
      </w:tr>
      <w:tr w:rsidR="008708BB" w:rsidRPr="001B0D7A" w14:paraId="3CAD3D20" w14:textId="77777777" w:rsidTr="008708BB">
        <w:trPr>
          <w:trHeight w:val="2859"/>
        </w:trPr>
        <w:tc>
          <w:tcPr>
            <w:tcW w:w="664" w:type="dxa"/>
            <w:shd w:val="clear" w:color="auto" w:fill="auto"/>
          </w:tcPr>
          <w:p w14:paraId="122F96B4" w14:textId="77777777" w:rsidR="008708BB" w:rsidRPr="001B0D7A" w:rsidRDefault="008708BB" w:rsidP="003522C7">
            <w:pPr>
              <w:contextualSpacing/>
              <w:jc w:val="center"/>
              <w:rPr>
                <w:rFonts w:eastAsia="Calibri"/>
              </w:rPr>
            </w:pPr>
            <w:r>
              <w:rPr>
                <w:rFonts w:eastAsia="Calibri"/>
              </w:rPr>
              <w:t>2.</w:t>
            </w:r>
          </w:p>
        </w:tc>
        <w:tc>
          <w:tcPr>
            <w:tcW w:w="4243" w:type="dxa"/>
            <w:shd w:val="clear" w:color="auto" w:fill="auto"/>
          </w:tcPr>
          <w:p w14:paraId="46B53AD3" w14:textId="77777777" w:rsidR="008708BB" w:rsidRPr="00E6565A" w:rsidRDefault="008708BB" w:rsidP="003522C7">
            <w:pPr>
              <w:rPr>
                <w:szCs w:val="24"/>
              </w:rPr>
            </w:pPr>
            <w:r w:rsidRPr="00E6565A">
              <w:rPr>
                <w:szCs w:val="24"/>
              </w:rPr>
              <w:t>Saskaņā ar līguma projektu šo noteikumu 4.2.punktu ir remonta termiņš - 120 kalendārās dienas, bet jauna komplekta piegādei termiņu neatradām. Lūdzam noteikt termiņu jauna komplekta piegādei - 250 kalendārās dienas.</w:t>
            </w:r>
          </w:p>
        </w:tc>
        <w:tc>
          <w:tcPr>
            <w:tcW w:w="5057" w:type="dxa"/>
            <w:shd w:val="clear" w:color="auto" w:fill="auto"/>
          </w:tcPr>
          <w:p w14:paraId="319E9CC6" w14:textId="77777777" w:rsidR="008708BB" w:rsidRPr="00C42CFA" w:rsidRDefault="008708BB" w:rsidP="003522C7">
            <w:pPr>
              <w:rPr>
                <w:szCs w:val="24"/>
              </w:rPr>
            </w:pPr>
            <w:r w:rsidRPr="00C42CFA">
              <w:rPr>
                <w:szCs w:val="24"/>
              </w:rPr>
              <w:t xml:space="preserve">Skaidrojam, ka, lai  izpildītu līgumu līdz 2023.gada 31.decembrim kā tas ir noteikts sarunu procedūras nolikumā, maksimāli pieļaujamais </w:t>
            </w:r>
            <w:r w:rsidRPr="00C42CFA">
              <w:rPr>
                <w:color w:val="212529"/>
                <w:szCs w:val="24"/>
                <w:shd w:val="clear" w:color="auto" w:fill="FFFFFF"/>
              </w:rPr>
              <w:t>jauna bremžu aprīkojuma DAKO sistēmas</w:t>
            </w:r>
            <w:r w:rsidRPr="00C42CFA">
              <w:rPr>
                <w:szCs w:val="24"/>
              </w:rPr>
              <w:t> komplekt</w:t>
            </w:r>
            <w:r>
              <w:rPr>
                <w:szCs w:val="24"/>
              </w:rPr>
              <w:t xml:space="preserve">a </w:t>
            </w:r>
            <w:r w:rsidRPr="00C42CFA">
              <w:rPr>
                <w:szCs w:val="24"/>
              </w:rPr>
              <w:t>piegādes termiņš ir 230 kalendārās dienas.</w:t>
            </w:r>
          </w:p>
          <w:p w14:paraId="2CF135E4" w14:textId="77777777" w:rsidR="008708BB" w:rsidRPr="00E6565A" w:rsidRDefault="008708BB" w:rsidP="003522C7">
            <w:pPr>
              <w:rPr>
                <w:szCs w:val="24"/>
              </w:rPr>
            </w:pPr>
          </w:p>
        </w:tc>
      </w:tr>
      <w:bookmarkEnd w:id="0"/>
    </w:tbl>
    <w:p w14:paraId="214D4E85" w14:textId="77777777" w:rsidR="008708BB" w:rsidRPr="00C20434" w:rsidRDefault="008708BB">
      <w:pPr>
        <w:rPr>
          <w:rFonts w:ascii="Arial" w:hAnsi="Arial" w:cs="Arial"/>
        </w:rPr>
      </w:pPr>
    </w:p>
    <w:sectPr w:rsidR="008708BB"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BB"/>
    <w:rsid w:val="002E3ED8"/>
    <w:rsid w:val="003204EA"/>
    <w:rsid w:val="008708BB"/>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1828"/>
  <w15:chartTrackingRefBased/>
  <w15:docId w15:val="{3B7E8A83-43FC-4803-AB60-08615ED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08BB"/>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8708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646</Characters>
  <Application>Microsoft Office Word</Application>
  <DocSecurity>0</DocSecurity>
  <Lines>5</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2022-12-20T14:09:00Z</dcterms:created>
  <dcterms:modified xsi:type="dcterms:W3CDTF">2022-12-20T14:09:00Z</dcterms:modified>
</cp:coreProperties>
</file>