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1EA9F" w14:textId="77777777" w:rsidR="007E77FD" w:rsidRDefault="007E77FD" w:rsidP="007E77FD">
      <w:pPr>
        <w:tabs>
          <w:tab w:val="left" w:pos="3760"/>
        </w:tabs>
        <w:ind w:left="-284" w:right="-1333" w:firstLine="4395"/>
        <w:jc w:val="right"/>
        <w:rPr>
          <w:rFonts w:eastAsia="Calibri"/>
          <w:i/>
          <w:szCs w:val="24"/>
          <w:lang w:eastAsia="lv-LV"/>
        </w:rPr>
      </w:pPr>
    </w:p>
    <w:p w14:paraId="0862A809" w14:textId="77777777" w:rsidR="007E77FD" w:rsidRDefault="007E77FD" w:rsidP="007E77FD">
      <w:pPr>
        <w:tabs>
          <w:tab w:val="left" w:pos="3760"/>
        </w:tabs>
        <w:ind w:left="-284" w:right="-1333" w:firstLine="4395"/>
        <w:jc w:val="right"/>
        <w:rPr>
          <w:rFonts w:eastAsia="Calibri"/>
          <w:i/>
          <w:szCs w:val="24"/>
          <w:lang w:eastAsia="lv-LV"/>
        </w:rPr>
      </w:pPr>
    </w:p>
    <w:p w14:paraId="4BD525AE" w14:textId="77777777" w:rsidR="007E77FD" w:rsidRDefault="007E77FD" w:rsidP="007E77FD">
      <w:pPr>
        <w:tabs>
          <w:tab w:val="left" w:pos="3760"/>
        </w:tabs>
        <w:ind w:left="-284" w:right="-1333" w:firstLine="4395"/>
        <w:jc w:val="right"/>
        <w:rPr>
          <w:rFonts w:eastAsia="Calibri"/>
          <w:i/>
          <w:szCs w:val="24"/>
          <w:lang w:eastAsia="lv-LV"/>
        </w:rPr>
      </w:pPr>
    </w:p>
    <w:p w14:paraId="4B1357D5" w14:textId="77777777" w:rsidR="007E77FD" w:rsidRPr="008951BD" w:rsidRDefault="007E77FD" w:rsidP="007E77FD">
      <w:pPr>
        <w:tabs>
          <w:tab w:val="left" w:pos="3760"/>
        </w:tabs>
        <w:ind w:left="-284" w:right="-1044" w:firstLine="4395"/>
        <w:jc w:val="right"/>
        <w:rPr>
          <w:rFonts w:eastAsia="Calibri"/>
          <w:i/>
          <w:szCs w:val="24"/>
          <w:lang w:eastAsia="lv-LV"/>
        </w:rPr>
      </w:pPr>
      <w:r w:rsidRPr="008951BD">
        <w:rPr>
          <w:rFonts w:eastAsia="Calibri"/>
          <w:i/>
          <w:szCs w:val="24"/>
          <w:lang w:eastAsia="lv-LV"/>
        </w:rPr>
        <w:t>APSTIPRINĀTS:</w:t>
      </w:r>
    </w:p>
    <w:p w14:paraId="401D5521" w14:textId="25FD7F7C" w:rsidR="007E77FD" w:rsidRPr="008951BD" w:rsidRDefault="007E77FD" w:rsidP="007E77FD">
      <w:pPr>
        <w:tabs>
          <w:tab w:val="left" w:pos="3760"/>
        </w:tabs>
        <w:ind w:right="-1044"/>
        <w:jc w:val="right"/>
        <w:rPr>
          <w:rFonts w:eastAsia="Calibri"/>
          <w:i/>
          <w:szCs w:val="24"/>
          <w:lang w:eastAsia="lv-LV"/>
        </w:rPr>
      </w:pPr>
      <w:r w:rsidRPr="008951BD">
        <w:rPr>
          <w:rFonts w:eastAsia="Calibri"/>
          <w:i/>
          <w:szCs w:val="24"/>
          <w:lang w:eastAsia="lv-LV"/>
        </w:rPr>
        <w:t xml:space="preserve">ar iepirkuma komisijas </w:t>
      </w:r>
      <w:r w:rsidRPr="008951BD">
        <w:rPr>
          <w:rFonts w:eastAsia="Arial Unicode MS"/>
          <w:i/>
          <w:szCs w:val="24"/>
          <w:lang w:eastAsia="lv-LV"/>
        </w:rPr>
        <w:t xml:space="preserve">2020.gada </w:t>
      </w:r>
      <w:r w:rsidR="005D6E5B">
        <w:rPr>
          <w:rFonts w:eastAsia="Arial Unicode MS"/>
          <w:i/>
          <w:szCs w:val="24"/>
          <w:lang w:eastAsia="lv-LV"/>
        </w:rPr>
        <w:t>30</w:t>
      </w:r>
      <w:bookmarkStart w:id="0" w:name="_GoBack"/>
      <w:bookmarkEnd w:id="0"/>
      <w:r w:rsidRPr="008951BD">
        <w:rPr>
          <w:rFonts w:eastAsia="Arial Unicode MS"/>
          <w:i/>
          <w:szCs w:val="24"/>
          <w:lang w:eastAsia="lv-LV"/>
        </w:rPr>
        <w:t>.</w:t>
      </w:r>
      <w:r>
        <w:rPr>
          <w:rFonts w:eastAsia="Arial Unicode MS"/>
          <w:i/>
          <w:szCs w:val="24"/>
          <w:lang w:eastAsia="lv-LV"/>
        </w:rPr>
        <w:t>oktobr</w:t>
      </w:r>
      <w:r w:rsidRPr="008951BD">
        <w:rPr>
          <w:rFonts w:eastAsia="Arial Unicode MS"/>
          <w:i/>
          <w:szCs w:val="24"/>
          <w:lang w:eastAsia="lv-LV"/>
        </w:rPr>
        <w:t xml:space="preserve">a </w:t>
      </w:r>
    </w:p>
    <w:p w14:paraId="4057A928" w14:textId="4C8072CC" w:rsidR="007E77FD" w:rsidRDefault="007E77FD" w:rsidP="007E77FD">
      <w:pPr>
        <w:ind w:right="-1044"/>
        <w:jc w:val="right"/>
        <w:rPr>
          <w:rFonts w:eastAsia="Arial Unicode MS"/>
          <w:i/>
          <w:szCs w:val="24"/>
          <w:lang w:eastAsia="lv-LV"/>
        </w:rPr>
      </w:pPr>
      <w:r w:rsidRPr="008951BD">
        <w:rPr>
          <w:rFonts w:eastAsia="Arial Unicode MS"/>
          <w:i/>
          <w:szCs w:val="24"/>
          <w:lang w:eastAsia="lv-LV"/>
        </w:rPr>
        <w:t>sēdes protokolu Nr.</w:t>
      </w:r>
      <w:r>
        <w:rPr>
          <w:rFonts w:eastAsia="Arial Unicode MS"/>
          <w:i/>
          <w:szCs w:val="24"/>
          <w:lang w:eastAsia="lv-LV"/>
        </w:rPr>
        <w:t>2</w:t>
      </w:r>
    </w:p>
    <w:p w14:paraId="7E013905" w14:textId="77777777" w:rsidR="007E77FD" w:rsidRDefault="007E77FD" w:rsidP="007E77FD">
      <w:pPr>
        <w:ind w:right="-1333"/>
        <w:jc w:val="right"/>
        <w:rPr>
          <w:rFonts w:eastAsia="Arial Unicode MS"/>
          <w:i/>
          <w:szCs w:val="24"/>
          <w:lang w:eastAsia="lv-LV"/>
        </w:rPr>
      </w:pPr>
    </w:p>
    <w:p w14:paraId="0FF57EB0" w14:textId="77777777" w:rsidR="007E77FD" w:rsidRDefault="007E77FD" w:rsidP="007E77FD">
      <w:pPr>
        <w:rPr>
          <w:b/>
        </w:rPr>
      </w:pPr>
    </w:p>
    <w:p w14:paraId="22B26091" w14:textId="77777777" w:rsidR="007E77FD" w:rsidRPr="00221889" w:rsidRDefault="007E77FD" w:rsidP="007E77FD">
      <w:pPr>
        <w:ind w:left="284" w:right="282"/>
        <w:jc w:val="center"/>
        <w:rPr>
          <w:rFonts w:eastAsia="Calibri"/>
          <w:b/>
        </w:rPr>
      </w:pPr>
    </w:p>
    <w:p w14:paraId="43539716" w14:textId="77777777" w:rsidR="007E77FD" w:rsidRPr="00681731" w:rsidRDefault="007E77FD" w:rsidP="007E77FD">
      <w:pPr>
        <w:jc w:val="center"/>
        <w:rPr>
          <w:b/>
        </w:rPr>
      </w:pPr>
      <w:r w:rsidRPr="00681731">
        <w:rPr>
          <w:b/>
        </w:rPr>
        <w:t>VAS </w:t>
      </w:r>
      <w:r w:rsidRPr="00681731">
        <w:rPr>
          <w:b/>
          <w:color w:val="222222"/>
        </w:rPr>
        <w:t>„</w:t>
      </w:r>
      <w:r w:rsidRPr="00681731">
        <w:rPr>
          <w:b/>
        </w:rPr>
        <w:t xml:space="preserve">Latvijas dzelzceļš” </w:t>
      </w:r>
    </w:p>
    <w:p w14:paraId="78D7FAD5" w14:textId="77777777" w:rsidR="007E77FD" w:rsidRPr="00681731" w:rsidRDefault="007E77FD" w:rsidP="007E77FD">
      <w:pPr>
        <w:ind w:left="142" w:right="-1"/>
        <w:jc w:val="center"/>
        <w:rPr>
          <w:b/>
        </w:rPr>
      </w:pPr>
      <w:r w:rsidRPr="00681731">
        <w:rPr>
          <w:b/>
        </w:rPr>
        <w:t>sarunu procedūras ar publikāciju</w:t>
      </w:r>
    </w:p>
    <w:p w14:paraId="10BEC766" w14:textId="77777777" w:rsidR="007E77FD" w:rsidRPr="00E32B79" w:rsidRDefault="007E77FD" w:rsidP="007E77FD">
      <w:pPr>
        <w:jc w:val="center"/>
        <w:rPr>
          <w:b/>
          <w:bCs/>
        </w:rPr>
      </w:pPr>
      <w:r w:rsidRPr="00E32B79">
        <w:rPr>
          <w:b/>
          <w:bCs/>
          <w:color w:val="222222"/>
        </w:rPr>
        <w:t>„</w:t>
      </w:r>
      <w:r w:rsidRPr="00E32B79">
        <w:rPr>
          <w:b/>
          <w:bCs/>
        </w:rPr>
        <w:t xml:space="preserve">Informatīvā zvanu centra pakalpojuma nodrošināšana jautājumos par pasažieru vilcienu kustību un VAS </w:t>
      </w:r>
      <w:r w:rsidRPr="00E32B79">
        <w:rPr>
          <w:b/>
          <w:bCs/>
          <w:color w:val="222222"/>
        </w:rPr>
        <w:t>„</w:t>
      </w:r>
      <w:r w:rsidRPr="00E32B79">
        <w:rPr>
          <w:b/>
          <w:bCs/>
        </w:rPr>
        <w:t>Latvijas dzelzceļš” sniegtajiem pakalpojumiem ”</w:t>
      </w:r>
    </w:p>
    <w:p w14:paraId="01F45E03" w14:textId="77777777" w:rsidR="007E77FD" w:rsidRPr="003B77BC" w:rsidRDefault="007E77FD" w:rsidP="007E77FD">
      <w:pPr>
        <w:jc w:val="center"/>
        <w:rPr>
          <w:rFonts w:eastAsia="Calibri"/>
        </w:rPr>
      </w:pPr>
      <w:r w:rsidRPr="00803044">
        <w:rPr>
          <w:rFonts w:eastAsia="Calibri"/>
        </w:rPr>
        <w:t>(turpmāk – sarunu procedūra)</w:t>
      </w:r>
    </w:p>
    <w:p w14:paraId="16C75748" w14:textId="77777777" w:rsidR="007E77FD" w:rsidRPr="00681731" w:rsidRDefault="007E77FD" w:rsidP="007E77FD">
      <w:pPr>
        <w:ind w:left="284" w:right="282"/>
        <w:rPr>
          <w:rFonts w:eastAsia="Calibri"/>
        </w:rPr>
      </w:pPr>
    </w:p>
    <w:p w14:paraId="786C35DA" w14:textId="77777777" w:rsidR="007E77FD" w:rsidRPr="00681731" w:rsidRDefault="007E77FD" w:rsidP="007E77FD">
      <w:pPr>
        <w:ind w:left="284" w:right="282"/>
        <w:jc w:val="center"/>
        <w:rPr>
          <w:rFonts w:eastAsia="Calibri"/>
          <w:b/>
        </w:rPr>
      </w:pPr>
      <w:r w:rsidRPr="00681731">
        <w:rPr>
          <w:rFonts w:eastAsia="Calibri"/>
          <w:b/>
        </w:rPr>
        <w:t>Skaidrojums Nr.</w:t>
      </w:r>
      <w:r>
        <w:rPr>
          <w:rFonts w:eastAsia="Calibri"/>
          <w:b/>
        </w:rPr>
        <w:t>1</w:t>
      </w:r>
    </w:p>
    <w:p w14:paraId="6A5AF516" w14:textId="77777777" w:rsidR="007E77FD" w:rsidRPr="00291EAB" w:rsidRDefault="007E77FD" w:rsidP="007E77FD">
      <w:pPr>
        <w:ind w:left="284" w:right="282"/>
        <w:jc w:val="center"/>
        <w:rPr>
          <w:rFonts w:eastAsia="Calibri"/>
          <w:b/>
          <w:highlight w:val="yellow"/>
        </w:rPr>
      </w:pPr>
    </w:p>
    <w:p w14:paraId="3E7947CD" w14:textId="77777777" w:rsidR="007E77FD" w:rsidRPr="00291EAB" w:rsidRDefault="007E77FD" w:rsidP="007E77FD">
      <w:pPr>
        <w:ind w:left="284" w:right="282"/>
        <w:jc w:val="center"/>
        <w:rPr>
          <w:rFonts w:eastAsia="Calibri"/>
          <w:b/>
          <w:highlight w:val="yellow"/>
        </w:rPr>
      </w:pPr>
    </w:p>
    <w:tbl>
      <w:tblPr>
        <w:tblW w:w="1010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537"/>
        <w:gridCol w:w="4855"/>
      </w:tblGrid>
      <w:tr w:rsidR="007E77FD" w:rsidRPr="006C6AAF" w14:paraId="15925308" w14:textId="77777777" w:rsidTr="007E77FD">
        <w:trPr>
          <w:trHeight w:val="651"/>
        </w:trPr>
        <w:tc>
          <w:tcPr>
            <w:tcW w:w="709" w:type="dxa"/>
            <w:shd w:val="clear" w:color="auto" w:fill="FFF2CC"/>
            <w:vAlign w:val="center"/>
          </w:tcPr>
          <w:p w14:paraId="4DC45226" w14:textId="77777777" w:rsidR="007E77FD" w:rsidRPr="006C6AAF" w:rsidRDefault="007E77FD" w:rsidP="001F3695">
            <w:pPr>
              <w:jc w:val="center"/>
              <w:rPr>
                <w:rFonts w:eastAsia="Calibri"/>
                <w:b/>
              </w:rPr>
            </w:pPr>
            <w:r w:rsidRPr="006C6AAF">
              <w:rPr>
                <w:rFonts w:eastAsia="Calibri"/>
                <w:b/>
              </w:rPr>
              <w:t>Nr.</w:t>
            </w:r>
          </w:p>
          <w:p w14:paraId="7F904B00" w14:textId="77777777" w:rsidR="007E77FD" w:rsidRPr="006C6AAF" w:rsidRDefault="007E77FD" w:rsidP="001F3695">
            <w:pPr>
              <w:jc w:val="center"/>
              <w:rPr>
                <w:rFonts w:eastAsia="Calibri"/>
                <w:b/>
              </w:rPr>
            </w:pPr>
            <w:r w:rsidRPr="006C6AAF">
              <w:rPr>
                <w:rFonts w:eastAsia="Calibri"/>
                <w:b/>
              </w:rPr>
              <w:t>p.k.</w:t>
            </w:r>
          </w:p>
        </w:tc>
        <w:tc>
          <w:tcPr>
            <w:tcW w:w="4537" w:type="dxa"/>
            <w:shd w:val="clear" w:color="auto" w:fill="FFF2CC"/>
            <w:vAlign w:val="center"/>
          </w:tcPr>
          <w:p w14:paraId="5D9A3EFA" w14:textId="77777777" w:rsidR="007E77FD" w:rsidRPr="006C6AAF" w:rsidRDefault="007E77FD" w:rsidP="001F3695">
            <w:pPr>
              <w:jc w:val="center"/>
              <w:rPr>
                <w:rFonts w:eastAsia="Calibri"/>
                <w:b/>
                <w:i/>
              </w:rPr>
            </w:pPr>
            <w:r w:rsidRPr="006C6AAF">
              <w:rPr>
                <w:rFonts w:eastAsia="Calibri"/>
                <w:b/>
                <w:i/>
              </w:rPr>
              <w:t>Jautājums</w:t>
            </w:r>
          </w:p>
        </w:tc>
        <w:tc>
          <w:tcPr>
            <w:tcW w:w="4855" w:type="dxa"/>
            <w:shd w:val="clear" w:color="auto" w:fill="FFF2CC"/>
            <w:vAlign w:val="center"/>
          </w:tcPr>
          <w:p w14:paraId="016EDFF4" w14:textId="77777777" w:rsidR="007E77FD" w:rsidRPr="006C6AAF" w:rsidRDefault="007E77FD" w:rsidP="001F3695">
            <w:pPr>
              <w:jc w:val="center"/>
              <w:rPr>
                <w:rFonts w:eastAsia="Calibri"/>
                <w:b/>
                <w:i/>
                <w:highlight w:val="yellow"/>
              </w:rPr>
            </w:pPr>
            <w:r w:rsidRPr="006C6AAF">
              <w:rPr>
                <w:rFonts w:eastAsia="Calibri"/>
                <w:b/>
                <w:i/>
              </w:rPr>
              <w:t>Atbilde</w:t>
            </w:r>
          </w:p>
        </w:tc>
      </w:tr>
      <w:tr w:rsidR="007E77FD" w:rsidRPr="006C6AAF" w14:paraId="682CE8F6" w14:textId="77777777" w:rsidTr="007E77FD">
        <w:trPr>
          <w:trHeight w:val="3242"/>
        </w:trPr>
        <w:tc>
          <w:tcPr>
            <w:tcW w:w="709" w:type="dxa"/>
            <w:shd w:val="clear" w:color="auto" w:fill="auto"/>
          </w:tcPr>
          <w:p w14:paraId="29882703" w14:textId="77777777" w:rsidR="007E77FD" w:rsidRPr="006C6AAF" w:rsidRDefault="007E77FD" w:rsidP="001F3695">
            <w:pPr>
              <w:jc w:val="center"/>
              <w:rPr>
                <w:rFonts w:eastAsia="Calibri"/>
              </w:rPr>
            </w:pPr>
            <w:r w:rsidRPr="006C6AAF">
              <w:rPr>
                <w:rFonts w:eastAsia="Calibri"/>
              </w:rPr>
              <w:t>1.</w:t>
            </w:r>
          </w:p>
        </w:tc>
        <w:tc>
          <w:tcPr>
            <w:tcW w:w="4537" w:type="dxa"/>
            <w:shd w:val="clear" w:color="auto" w:fill="auto"/>
          </w:tcPr>
          <w:p w14:paraId="674D598B" w14:textId="77777777" w:rsidR="007E77FD" w:rsidRPr="006C6AAF" w:rsidRDefault="007E77FD" w:rsidP="001F3695">
            <w:pPr>
              <w:rPr>
                <w:rFonts w:eastAsia="Times New Roman"/>
              </w:rPr>
            </w:pPr>
            <w:r w:rsidRPr="006C6AAF">
              <w:rPr>
                <w:rFonts w:eastAsia="Times New Roman"/>
              </w:rPr>
              <w:t>Vai būs pieejama klientu rokasgrāmata, kur ir apkopota informācija, kas nepieciešama projekta apkalpošanai? Cik apjomīga ir informācija, ko nepieciešams operatoriem pārvaldīt, lai varētu apkalpot zvanus? Apjomu var izteikt arī A4 lapaspusēs.</w:t>
            </w:r>
          </w:p>
        </w:tc>
        <w:tc>
          <w:tcPr>
            <w:tcW w:w="4855" w:type="dxa"/>
            <w:shd w:val="clear" w:color="auto" w:fill="auto"/>
          </w:tcPr>
          <w:p w14:paraId="1D711B94" w14:textId="77777777" w:rsidR="007E77FD" w:rsidRPr="0092690B" w:rsidRDefault="007E77FD" w:rsidP="001F3695">
            <w:pPr>
              <w:ind w:left="35"/>
            </w:pPr>
            <w:r w:rsidRPr="0092690B">
              <w:t xml:space="preserve">Lai operatori veiksmīgi </w:t>
            </w:r>
            <w:r>
              <w:t>spētu</w:t>
            </w:r>
            <w:r w:rsidRPr="0092690B">
              <w:t xml:space="preserve"> apkalpot zvanus, pirms nododam projektu būs pieejama rokasgrāmata un instrukcijas. Informācija ir diezgan apjomīga – gan sarežģītības līmenī, gan arī tematu ziņā. Kop</w:t>
            </w:r>
            <w:r>
              <w:t xml:space="preserve">ējais apjoms </w:t>
            </w:r>
            <w:r w:rsidRPr="0092690B">
              <w:t xml:space="preserve">līdz 100 lpp. </w:t>
            </w:r>
          </w:p>
          <w:p w14:paraId="173BB21E" w14:textId="77777777" w:rsidR="007E77FD" w:rsidRPr="00142C04" w:rsidRDefault="007E77FD" w:rsidP="001F3695">
            <w:pPr>
              <w:ind w:left="35"/>
            </w:pPr>
            <w:r w:rsidRPr="0092690B">
              <w:t xml:space="preserve">Piedāvājam lietot mūsu informatīvo bāzi, kas ir veidota </w:t>
            </w:r>
            <w:r w:rsidRPr="00142C04">
              <w:rPr>
                <w:i/>
                <w:iCs/>
              </w:rPr>
              <w:t>Sharepoint</w:t>
            </w:r>
            <w:r w:rsidRPr="0092690B">
              <w:t xml:space="preserve"> vidē, kur </w:t>
            </w:r>
            <w:r>
              <w:t>pasūtītājs</w:t>
            </w:r>
            <w:r w:rsidRPr="0092690B">
              <w:t xml:space="preserve"> ievieto un administrē informāciju. </w:t>
            </w:r>
            <w:r>
              <w:t>Nepieciešamības gadījumā iespējams</w:t>
            </w:r>
            <w:r w:rsidRPr="0092690B">
              <w:t xml:space="preserve"> vienoties, ka informāciju piegādātājs var ievietot savā </w:t>
            </w:r>
            <w:r>
              <w:t>d</w:t>
            </w:r>
            <w:r w:rsidRPr="0092690B">
              <w:t xml:space="preserve">atu bāzē un pamatā lieto to. </w:t>
            </w:r>
          </w:p>
        </w:tc>
      </w:tr>
      <w:tr w:rsidR="007E77FD" w:rsidRPr="006C6AAF" w14:paraId="4F2C2F10" w14:textId="77777777" w:rsidTr="007E77FD">
        <w:trPr>
          <w:trHeight w:val="1905"/>
        </w:trPr>
        <w:tc>
          <w:tcPr>
            <w:tcW w:w="709" w:type="dxa"/>
            <w:shd w:val="clear" w:color="auto" w:fill="auto"/>
          </w:tcPr>
          <w:p w14:paraId="1DF20AD3" w14:textId="77777777" w:rsidR="007E77FD" w:rsidRPr="006C6AAF" w:rsidRDefault="007E77FD" w:rsidP="001F3695">
            <w:pPr>
              <w:jc w:val="center"/>
              <w:rPr>
                <w:rFonts w:eastAsia="Calibri"/>
              </w:rPr>
            </w:pPr>
            <w:r w:rsidRPr="006C6AAF">
              <w:rPr>
                <w:rFonts w:eastAsia="Calibri"/>
              </w:rPr>
              <w:t>2.</w:t>
            </w:r>
          </w:p>
        </w:tc>
        <w:tc>
          <w:tcPr>
            <w:tcW w:w="4537" w:type="dxa"/>
            <w:shd w:val="clear" w:color="auto" w:fill="auto"/>
          </w:tcPr>
          <w:p w14:paraId="6995F1E1" w14:textId="77777777" w:rsidR="007E77FD" w:rsidRPr="006C6AAF" w:rsidRDefault="007E77FD" w:rsidP="001F3695">
            <w:pPr>
              <w:rPr>
                <w:rFonts w:eastAsia="Times New Roman"/>
              </w:rPr>
            </w:pPr>
            <w:r w:rsidRPr="006C6AAF">
              <w:rPr>
                <w:rFonts w:eastAsia="Times New Roman"/>
              </w:rPr>
              <w:t>Kādas IT sistēmas no par VAS „Latvijas dzelzceļš</w:t>
            </w:r>
            <w:r>
              <w:rPr>
                <w:rFonts w:eastAsia="Times New Roman"/>
              </w:rPr>
              <w:t>”</w:t>
            </w:r>
            <w:r w:rsidRPr="006C6AAF">
              <w:rPr>
                <w:rFonts w:eastAsia="Times New Roman"/>
              </w:rPr>
              <w:t xml:space="preserve"> būs jālieto darba veikšanai? Cik katrai no tām ir nepieciešams laiks apmācībām, lai varētu apgūt sistēmas lietošanu.</w:t>
            </w:r>
          </w:p>
        </w:tc>
        <w:tc>
          <w:tcPr>
            <w:tcW w:w="4855" w:type="dxa"/>
            <w:shd w:val="clear" w:color="auto" w:fill="auto"/>
          </w:tcPr>
          <w:p w14:paraId="386D2B8A" w14:textId="77777777" w:rsidR="007E77FD" w:rsidRPr="004564B1" w:rsidRDefault="007E77FD" w:rsidP="001F3695">
            <w:pPr>
              <w:ind w:left="35"/>
            </w:pPr>
            <w:r>
              <w:t xml:space="preserve">Sarunu procedūras priekšmetā minētā pakalpojuma izpildei </w:t>
            </w:r>
            <w:r w:rsidRPr="0092690B">
              <w:t xml:space="preserve">nekādas </w:t>
            </w:r>
            <w:r>
              <w:t xml:space="preserve">sistēmas </w:t>
            </w:r>
            <w:r w:rsidRPr="0092690B">
              <w:t xml:space="preserve">nebūs jālieto. </w:t>
            </w:r>
            <w:r>
              <w:t>Pamatā</w:t>
            </w:r>
            <w:r w:rsidRPr="0092690B">
              <w:t xml:space="preserve"> nepieciešams </w:t>
            </w:r>
            <w:r w:rsidRPr="004369DC">
              <w:rPr>
                <w:i/>
                <w:iCs/>
              </w:rPr>
              <w:t>MS Office</w:t>
            </w:r>
            <w:r w:rsidRPr="0092690B">
              <w:t>, jo vis</w:t>
            </w:r>
            <w:r>
              <w:t>a</w:t>
            </w:r>
            <w:r w:rsidRPr="0092690B">
              <w:t xml:space="preserve"> informācij</w:t>
            </w:r>
            <w:r>
              <w:t>a,</w:t>
            </w:r>
            <w:r w:rsidRPr="0092690B">
              <w:t xml:space="preserve"> ko </w:t>
            </w:r>
            <w:r>
              <w:t xml:space="preserve">pasūtītājs nosūta </w:t>
            </w:r>
            <w:r w:rsidRPr="0092690B">
              <w:t xml:space="preserve">piegādātājām ir veidota </w:t>
            </w:r>
            <w:r>
              <w:t xml:space="preserve">MS </w:t>
            </w:r>
            <w:r w:rsidRPr="0092690B">
              <w:t xml:space="preserve">Word, </w:t>
            </w:r>
            <w:r>
              <w:t>PDF</w:t>
            </w:r>
            <w:r w:rsidRPr="0092690B">
              <w:t xml:space="preserve"> vai </w:t>
            </w:r>
            <w:r>
              <w:t xml:space="preserve">MS </w:t>
            </w:r>
            <w:r w:rsidRPr="0092690B">
              <w:t>Excel</w:t>
            </w:r>
            <w:r>
              <w:t xml:space="preserve"> formātā</w:t>
            </w:r>
            <w:r w:rsidRPr="0092690B">
              <w:t>. Pārējā informācija ir pieejama interneta resursos.</w:t>
            </w:r>
          </w:p>
        </w:tc>
      </w:tr>
      <w:tr w:rsidR="007E77FD" w:rsidRPr="006C6AAF" w14:paraId="068C0AB6" w14:textId="77777777" w:rsidTr="007E77FD">
        <w:trPr>
          <w:trHeight w:val="759"/>
        </w:trPr>
        <w:tc>
          <w:tcPr>
            <w:tcW w:w="709" w:type="dxa"/>
            <w:shd w:val="clear" w:color="auto" w:fill="auto"/>
          </w:tcPr>
          <w:p w14:paraId="6D166229" w14:textId="77777777" w:rsidR="007E77FD" w:rsidRPr="006C6AAF" w:rsidRDefault="007E77FD" w:rsidP="001F3695">
            <w:pPr>
              <w:jc w:val="center"/>
              <w:rPr>
                <w:rFonts w:eastAsia="Calibri"/>
              </w:rPr>
            </w:pPr>
            <w:r w:rsidRPr="006C6AAF">
              <w:rPr>
                <w:rFonts w:eastAsia="Calibri"/>
              </w:rPr>
              <w:t>3.</w:t>
            </w:r>
          </w:p>
        </w:tc>
        <w:tc>
          <w:tcPr>
            <w:tcW w:w="4537" w:type="dxa"/>
            <w:shd w:val="clear" w:color="auto" w:fill="auto"/>
          </w:tcPr>
          <w:p w14:paraId="0EC0A793" w14:textId="77777777" w:rsidR="007E77FD" w:rsidRPr="006C6AAF" w:rsidRDefault="007E77FD" w:rsidP="001F3695">
            <w:pPr>
              <w:rPr>
                <w:rFonts w:eastAsia="Times New Roman"/>
              </w:rPr>
            </w:pPr>
            <w:r w:rsidRPr="006C6AAF">
              <w:rPr>
                <w:rFonts w:eastAsia="Times New Roman"/>
              </w:rPr>
              <w:t>Cik gara</w:t>
            </w:r>
            <w:r>
              <w:rPr>
                <w:rFonts w:eastAsia="Times New Roman"/>
              </w:rPr>
              <w:t>s</w:t>
            </w:r>
            <w:r w:rsidRPr="006C6AAF">
              <w:rPr>
                <w:rFonts w:eastAsia="Times New Roman"/>
              </w:rPr>
              <w:t xml:space="preserve"> apmācības ir plānotas (stundās)</w:t>
            </w:r>
            <w:r>
              <w:rPr>
                <w:rFonts w:eastAsia="Times New Roman"/>
              </w:rPr>
              <w:t>,</w:t>
            </w:r>
            <w:r w:rsidRPr="006C6AAF">
              <w:rPr>
                <w:rFonts w:eastAsia="Times New Roman"/>
              </w:rPr>
              <w:t xml:space="preserve"> lai varētu apgūt pakalpojuma specifiku un uzsākt tālruņa apkalpošanu?</w:t>
            </w:r>
          </w:p>
        </w:tc>
        <w:tc>
          <w:tcPr>
            <w:tcW w:w="4855" w:type="dxa"/>
            <w:shd w:val="clear" w:color="auto" w:fill="auto"/>
          </w:tcPr>
          <w:p w14:paraId="0FE95C71" w14:textId="77777777" w:rsidR="007E77FD" w:rsidRPr="00E444F8" w:rsidRDefault="007E77FD" w:rsidP="001F3695">
            <w:pPr>
              <w:ind w:left="35"/>
            </w:pPr>
            <w:r>
              <w:t>Skaidrojam, ka apmācībai ir</w:t>
            </w:r>
            <w:r w:rsidRPr="0092690B">
              <w:t xml:space="preserve"> nepieciešamas 3</w:t>
            </w:r>
            <w:r>
              <w:t xml:space="preserve"> </w:t>
            </w:r>
            <w:r w:rsidRPr="0092690B">
              <w:t>- 4 dienas</w:t>
            </w:r>
            <w:r>
              <w:t xml:space="preserve">, ik dienu </w:t>
            </w:r>
            <w:r w:rsidRPr="0092690B">
              <w:t xml:space="preserve">pa 8 stundām. Katrā apmācības dienā ir savs temats.  Apmācībās tiek iekļauta arī operatoru testēšana. </w:t>
            </w:r>
            <w:r>
              <w:t xml:space="preserve">Norādām, ka </w:t>
            </w:r>
            <w:r w:rsidRPr="0092690B">
              <w:t>sā</w:t>
            </w:r>
            <w:r>
              <w:t>kotnēji</w:t>
            </w:r>
            <w:r w:rsidRPr="0092690B">
              <w:t xml:space="preserve"> apmācības novada</w:t>
            </w:r>
            <w:r>
              <w:t xml:space="preserve"> pasūtītājs</w:t>
            </w:r>
            <w:r w:rsidRPr="0092690B">
              <w:t xml:space="preserve">, bet </w:t>
            </w:r>
            <w:r>
              <w:t>pēcāk</w:t>
            </w:r>
            <w:r w:rsidRPr="0092690B">
              <w:t xml:space="preserve"> par operatoru zināšanām atbild</w:t>
            </w:r>
            <w:r>
              <w:t xml:space="preserve">īgs ir </w:t>
            </w:r>
            <w:r w:rsidRPr="0092690B">
              <w:t xml:space="preserve">piegādātājs. </w:t>
            </w:r>
          </w:p>
        </w:tc>
      </w:tr>
      <w:tr w:rsidR="007E77FD" w:rsidRPr="006C6AAF" w14:paraId="3CD99418" w14:textId="77777777" w:rsidTr="007E77FD">
        <w:trPr>
          <w:trHeight w:val="911"/>
        </w:trPr>
        <w:tc>
          <w:tcPr>
            <w:tcW w:w="709" w:type="dxa"/>
            <w:shd w:val="clear" w:color="auto" w:fill="auto"/>
          </w:tcPr>
          <w:p w14:paraId="4583894F" w14:textId="77777777" w:rsidR="007E77FD" w:rsidRPr="006C6AAF" w:rsidRDefault="007E77FD" w:rsidP="001F3695">
            <w:pPr>
              <w:jc w:val="center"/>
              <w:rPr>
                <w:rFonts w:eastAsia="Calibri"/>
              </w:rPr>
            </w:pPr>
            <w:r w:rsidRPr="006C6AAF">
              <w:rPr>
                <w:rFonts w:eastAsia="Calibri"/>
              </w:rPr>
              <w:t>4.</w:t>
            </w:r>
          </w:p>
        </w:tc>
        <w:tc>
          <w:tcPr>
            <w:tcW w:w="4537" w:type="dxa"/>
            <w:shd w:val="clear" w:color="auto" w:fill="auto"/>
          </w:tcPr>
          <w:p w14:paraId="62378772" w14:textId="77777777" w:rsidR="007E77FD" w:rsidRPr="006C6AAF" w:rsidRDefault="007E77FD" w:rsidP="001F3695">
            <w:pPr>
              <w:rPr>
                <w:rFonts w:eastAsia="Times New Roman"/>
              </w:rPr>
            </w:pPr>
            <w:r w:rsidRPr="006C6AAF">
              <w:rPr>
                <w:rFonts w:eastAsia="Times New Roman"/>
              </w:rPr>
              <w:t>Cik daudz izmaiņas un jaunumi ir pakalpojuma sniegšanas laikā? Mums būtu svarīgi saprast</w:t>
            </w:r>
            <w:r>
              <w:rPr>
                <w:rFonts w:eastAsia="Times New Roman"/>
              </w:rPr>
              <w:t>,</w:t>
            </w:r>
            <w:r w:rsidRPr="006C6AAF">
              <w:rPr>
                <w:rFonts w:eastAsia="Times New Roman"/>
              </w:rPr>
              <w:t xml:space="preserve"> cik daudz laika patērēsim jaunumu apgūšanā mēneša laikā.</w:t>
            </w:r>
          </w:p>
        </w:tc>
        <w:tc>
          <w:tcPr>
            <w:tcW w:w="4855" w:type="dxa"/>
            <w:shd w:val="clear" w:color="auto" w:fill="auto"/>
          </w:tcPr>
          <w:p w14:paraId="075401E6" w14:textId="77777777" w:rsidR="007E77FD" w:rsidRPr="00782ADB" w:rsidRDefault="007E77FD" w:rsidP="001F3695">
            <w:pPr>
              <w:ind w:left="35"/>
            </w:pPr>
            <w:r>
              <w:t>Skaidrojam, ka tas a</w:t>
            </w:r>
            <w:r w:rsidRPr="0092690B">
              <w:t xml:space="preserve">tkarīgs no temata specifikas. Lielākoties informācija nemainās, taču </w:t>
            </w:r>
            <w:r>
              <w:t>pastāv arī</w:t>
            </w:r>
            <w:r w:rsidRPr="0092690B">
              <w:t xml:space="preserve"> operatīvas  un ārkārtas situācijas. </w:t>
            </w:r>
            <w:r>
              <w:t>Provizoriski j</w:t>
            </w:r>
            <w:r w:rsidRPr="0092690B">
              <w:t>aunumi varētu nākt klāt vienu reiz</w:t>
            </w:r>
            <w:r>
              <w:t>i</w:t>
            </w:r>
            <w:r w:rsidRPr="0092690B">
              <w:t xml:space="preserve"> 2-3 mēnešos</w:t>
            </w:r>
            <w:r>
              <w:t xml:space="preserve"> pakalpojuma sniegšanas laikā</w:t>
            </w:r>
            <w:r w:rsidRPr="0092690B">
              <w:t xml:space="preserve">, </w:t>
            </w:r>
            <w:r>
              <w:t>nemainot</w:t>
            </w:r>
            <w:r w:rsidRPr="0092690B">
              <w:t xml:space="preserve"> pamata informācij</w:t>
            </w:r>
            <w:r>
              <w:t>u.</w:t>
            </w:r>
          </w:p>
        </w:tc>
      </w:tr>
      <w:tr w:rsidR="007E77FD" w:rsidRPr="006C6AAF" w14:paraId="7BD750A4" w14:textId="77777777" w:rsidTr="007E77FD">
        <w:trPr>
          <w:trHeight w:val="800"/>
        </w:trPr>
        <w:tc>
          <w:tcPr>
            <w:tcW w:w="709" w:type="dxa"/>
            <w:shd w:val="clear" w:color="auto" w:fill="auto"/>
          </w:tcPr>
          <w:p w14:paraId="021337C3" w14:textId="77777777" w:rsidR="007E77FD" w:rsidRPr="006C6AAF" w:rsidRDefault="007E77FD" w:rsidP="001F3695">
            <w:pPr>
              <w:jc w:val="center"/>
              <w:rPr>
                <w:rFonts w:eastAsia="Calibri"/>
              </w:rPr>
            </w:pPr>
            <w:r w:rsidRPr="006C6AAF">
              <w:rPr>
                <w:rFonts w:eastAsia="Calibri"/>
              </w:rPr>
              <w:t>5.</w:t>
            </w:r>
          </w:p>
        </w:tc>
        <w:tc>
          <w:tcPr>
            <w:tcW w:w="4537" w:type="dxa"/>
            <w:shd w:val="clear" w:color="auto" w:fill="auto"/>
          </w:tcPr>
          <w:p w14:paraId="364EDB8E" w14:textId="77777777" w:rsidR="007E77FD" w:rsidRPr="006C6AAF" w:rsidRDefault="007E77FD" w:rsidP="001F3695">
            <w:pPr>
              <w:rPr>
                <w:rFonts w:eastAsia="Times New Roman"/>
              </w:rPr>
            </w:pPr>
            <w:r w:rsidRPr="006C6AAF">
              <w:rPr>
                <w:rFonts w:eastAsia="Times New Roman"/>
              </w:rPr>
              <w:t>Saprotu, ka numurs 80021181 ir reģistrēts uz VAS „Latvijas dzelzceļš”. Kāds operators šobrīd apkalpo šo numuru?</w:t>
            </w:r>
          </w:p>
        </w:tc>
        <w:tc>
          <w:tcPr>
            <w:tcW w:w="4855" w:type="dxa"/>
            <w:shd w:val="clear" w:color="auto" w:fill="auto"/>
          </w:tcPr>
          <w:p w14:paraId="0A499468" w14:textId="77777777" w:rsidR="007E77FD" w:rsidRPr="0092690B" w:rsidRDefault="007E77FD" w:rsidP="001F3695">
            <w:pPr>
              <w:ind w:left="35"/>
            </w:pPr>
            <w:r>
              <w:t xml:space="preserve">Skaidrojam, ka </w:t>
            </w:r>
            <w:r w:rsidRPr="0092690B">
              <w:t xml:space="preserve">VAS </w:t>
            </w:r>
            <w:r w:rsidRPr="006C6AAF">
              <w:rPr>
                <w:rFonts w:eastAsia="Times New Roman"/>
              </w:rPr>
              <w:t>„</w:t>
            </w:r>
            <w:r w:rsidRPr="0092690B">
              <w:t>Latvijas dzelzceļš” ir arī operators.</w:t>
            </w:r>
          </w:p>
          <w:p w14:paraId="43CF1EA4" w14:textId="77777777" w:rsidR="007E77FD" w:rsidRPr="0092690B" w:rsidRDefault="007E77FD" w:rsidP="001F3695">
            <w:pPr>
              <w:ind w:left="35" w:firstLine="608"/>
            </w:pPr>
          </w:p>
        </w:tc>
      </w:tr>
      <w:tr w:rsidR="007E77FD" w:rsidRPr="006C6AAF" w14:paraId="0196BF4C" w14:textId="77777777" w:rsidTr="007E77FD">
        <w:trPr>
          <w:trHeight w:val="1659"/>
        </w:trPr>
        <w:tc>
          <w:tcPr>
            <w:tcW w:w="709" w:type="dxa"/>
            <w:shd w:val="clear" w:color="auto" w:fill="auto"/>
          </w:tcPr>
          <w:p w14:paraId="0E3DA655" w14:textId="77777777" w:rsidR="007E77FD" w:rsidRPr="006C6AAF" w:rsidRDefault="007E77FD" w:rsidP="001F3695">
            <w:pPr>
              <w:jc w:val="center"/>
              <w:rPr>
                <w:rFonts w:eastAsia="Calibri"/>
              </w:rPr>
            </w:pPr>
            <w:r w:rsidRPr="006C6AAF">
              <w:rPr>
                <w:rFonts w:eastAsia="Calibri"/>
              </w:rPr>
              <w:lastRenderedPageBreak/>
              <w:t>6.</w:t>
            </w:r>
          </w:p>
        </w:tc>
        <w:tc>
          <w:tcPr>
            <w:tcW w:w="4537" w:type="dxa"/>
            <w:shd w:val="clear" w:color="auto" w:fill="auto"/>
          </w:tcPr>
          <w:p w14:paraId="6E22BD01" w14:textId="77777777" w:rsidR="007E77FD" w:rsidRPr="00782ADB" w:rsidRDefault="007E77FD" w:rsidP="001F3695">
            <w:pPr>
              <w:rPr>
                <w:rFonts w:eastAsia="Times New Roman"/>
              </w:rPr>
            </w:pPr>
            <w:r w:rsidRPr="00782ADB">
              <w:rPr>
                <w:rFonts w:eastAsia="Times New Roman"/>
              </w:rPr>
              <w:t>Par punktu 4.6. „pretendentam ir ne mazāk kā 30 (trīsdesmit) sarunu procedūras priekšmetā minētā pakalpojuma sniegšanai kvalificēti zvanu centra operatori.” Vai ir nepieciešams kā specifiski apliecināt operatoru kvalifikāciju un esamību?</w:t>
            </w:r>
          </w:p>
        </w:tc>
        <w:tc>
          <w:tcPr>
            <w:tcW w:w="4855" w:type="dxa"/>
            <w:shd w:val="clear" w:color="auto" w:fill="auto"/>
          </w:tcPr>
          <w:p w14:paraId="45B9BD0F" w14:textId="77777777" w:rsidR="007E77FD" w:rsidRPr="00782ADB" w:rsidRDefault="007E77FD" w:rsidP="001F3695">
            <w:pPr>
              <w:ind w:left="35"/>
            </w:pPr>
            <w:r w:rsidRPr="00782ADB">
              <w:t xml:space="preserve">Pretendentam ir jāiesniedz noteiktais dokuments atbilstoši sarunu procedūras nolikuma 4.6. un 1.9.15.punktam, proti, </w:t>
            </w:r>
            <w:r w:rsidRPr="00782ADB">
              <w:rPr>
                <w:bCs/>
              </w:rPr>
              <w:t>pretendentam jāiesniedz brīvā formā noformēts apliecinājums, kas ir parakstīts no  pretendenta likumiskā pārstāvja (-u) puses</w:t>
            </w:r>
            <w:r>
              <w:rPr>
                <w:bCs/>
              </w:rPr>
              <w:t xml:space="preserve"> un apliecina</w:t>
            </w:r>
            <w:r w:rsidRPr="00782ADB">
              <w:rPr>
                <w:bCs/>
              </w:rPr>
              <w:t xml:space="preserve"> </w:t>
            </w:r>
            <w:r w:rsidRPr="00782ADB">
              <w:rPr>
                <w:rFonts w:eastAsia="Times New Roman"/>
              </w:rPr>
              <w:t>zvanu centra operator</w:t>
            </w:r>
            <w:r>
              <w:rPr>
                <w:rFonts w:eastAsia="Times New Roman"/>
              </w:rPr>
              <w:t xml:space="preserve">u kvalifikāciju. </w:t>
            </w:r>
            <w:r>
              <w:rPr>
                <w:bCs/>
              </w:rPr>
              <w:t xml:space="preserve">Attiecīgi norādām, ka papildus kā specifiski </w:t>
            </w:r>
            <w:r w:rsidRPr="00782ADB">
              <w:t>nav nepieciešams</w:t>
            </w:r>
            <w:r>
              <w:t xml:space="preserve"> </w:t>
            </w:r>
            <w:r w:rsidRPr="00782ADB">
              <w:rPr>
                <w:rFonts w:eastAsia="Times New Roman"/>
              </w:rPr>
              <w:t>apliecināt operatoru kvalifikāciju</w:t>
            </w:r>
            <w:r>
              <w:rPr>
                <w:rFonts w:eastAsia="Times New Roman"/>
              </w:rPr>
              <w:t>.</w:t>
            </w:r>
          </w:p>
        </w:tc>
      </w:tr>
      <w:tr w:rsidR="007E77FD" w:rsidRPr="006C6AAF" w14:paraId="38DFA25B" w14:textId="77777777" w:rsidTr="007E77FD">
        <w:trPr>
          <w:trHeight w:val="546"/>
        </w:trPr>
        <w:tc>
          <w:tcPr>
            <w:tcW w:w="709" w:type="dxa"/>
            <w:shd w:val="clear" w:color="auto" w:fill="auto"/>
          </w:tcPr>
          <w:p w14:paraId="0F3567BB" w14:textId="77777777" w:rsidR="007E77FD" w:rsidRPr="006C6AAF" w:rsidRDefault="007E77FD" w:rsidP="001F3695">
            <w:pPr>
              <w:jc w:val="center"/>
              <w:rPr>
                <w:rFonts w:eastAsia="Calibri"/>
              </w:rPr>
            </w:pPr>
            <w:r w:rsidRPr="006C6AAF">
              <w:rPr>
                <w:rFonts w:eastAsia="Calibri"/>
              </w:rPr>
              <w:t>7.</w:t>
            </w:r>
          </w:p>
        </w:tc>
        <w:tc>
          <w:tcPr>
            <w:tcW w:w="4537" w:type="dxa"/>
            <w:shd w:val="clear" w:color="auto" w:fill="auto"/>
          </w:tcPr>
          <w:p w14:paraId="0ED92F5A" w14:textId="77777777" w:rsidR="007E77FD" w:rsidRPr="00637A24" w:rsidRDefault="007E77FD" w:rsidP="001F3695">
            <w:pPr>
              <w:rPr>
                <w:rFonts w:eastAsia="Times New Roman"/>
                <w:color w:val="000000"/>
                <w:lang w:eastAsia="en-GB"/>
              </w:rPr>
            </w:pPr>
            <w:r w:rsidRPr="006C6AAF">
              <w:rPr>
                <w:rFonts w:eastAsia="Times New Roman"/>
                <w:color w:val="000000"/>
                <w:lang w:eastAsia="en-GB"/>
              </w:rPr>
              <w:t>Lūgums iesūtīt zvanu plūsmu pēdējiem 3 mēnešiem stundas griezumā.</w:t>
            </w:r>
          </w:p>
        </w:tc>
        <w:tc>
          <w:tcPr>
            <w:tcW w:w="4855" w:type="dxa"/>
            <w:shd w:val="clear" w:color="auto" w:fill="auto"/>
          </w:tcPr>
          <w:p w14:paraId="3CFA5A70" w14:textId="77777777" w:rsidR="007E77FD" w:rsidRDefault="007E77FD" w:rsidP="001F3695">
            <w:pPr>
              <w:ind w:left="35"/>
              <w:rPr>
                <w:color w:val="000000"/>
                <w:lang w:eastAsia="en-GB"/>
              </w:rPr>
            </w:pPr>
            <w:r>
              <w:rPr>
                <w:color w:val="000000"/>
                <w:lang w:eastAsia="en-GB"/>
              </w:rPr>
              <w:t>Norādām, ka lūgtā s</w:t>
            </w:r>
            <w:r w:rsidRPr="0092690B">
              <w:rPr>
                <w:color w:val="000000"/>
                <w:lang w:eastAsia="en-GB"/>
              </w:rPr>
              <w:t>tatistika pieejama pusstundas griezumā (oktobr</w:t>
            </w:r>
            <w:r>
              <w:rPr>
                <w:color w:val="000000"/>
                <w:lang w:eastAsia="en-GB"/>
              </w:rPr>
              <w:t>a mēnesis tajā</w:t>
            </w:r>
            <w:r w:rsidRPr="0092690B">
              <w:rPr>
                <w:color w:val="000000"/>
                <w:lang w:eastAsia="en-GB"/>
              </w:rPr>
              <w:t xml:space="preserve"> nav iekļauts). </w:t>
            </w:r>
            <w:r>
              <w:rPr>
                <w:color w:val="000000"/>
                <w:lang w:eastAsia="en-GB"/>
              </w:rPr>
              <w:t>Vienlaikus, lūdzam</w:t>
            </w:r>
            <w:r w:rsidRPr="0092690B">
              <w:rPr>
                <w:color w:val="000000"/>
                <w:lang w:eastAsia="en-GB"/>
              </w:rPr>
              <w:t xml:space="preserve"> ņemt vērā, ka atsevišķam </w:t>
            </w:r>
            <w:r w:rsidRPr="0092690B">
              <w:t xml:space="preserve">VAS </w:t>
            </w:r>
            <w:r w:rsidRPr="006C6AAF">
              <w:rPr>
                <w:rFonts w:eastAsia="Times New Roman"/>
              </w:rPr>
              <w:t>„</w:t>
            </w:r>
            <w:r w:rsidRPr="0092690B">
              <w:t>Latvijas dzelzceļš”</w:t>
            </w:r>
            <w:r>
              <w:t xml:space="preserve"> </w:t>
            </w:r>
            <w:r w:rsidRPr="0092690B">
              <w:rPr>
                <w:color w:val="000000"/>
                <w:lang w:eastAsia="en-GB"/>
              </w:rPr>
              <w:t xml:space="preserve">projektam (kas nav ietverts šajā statistikā) laika posmā no 27. – 3.datumam katru mēnesi ienāk papildus ap 250-300 zvaniem dienā. Konkrētam projektam zvanu skaits var sasniegt – līdz 60 zvaniem stundā. </w:t>
            </w:r>
            <w:r>
              <w:rPr>
                <w:color w:val="000000"/>
                <w:lang w:eastAsia="en-GB"/>
              </w:rPr>
              <w:t xml:space="preserve"> </w:t>
            </w:r>
          </w:p>
          <w:p w14:paraId="6B6C4880" w14:textId="77777777" w:rsidR="007E77FD" w:rsidRPr="008951BD" w:rsidRDefault="007E77FD" w:rsidP="001F3695">
            <w:pPr>
              <w:autoSpaceDE w:val="0"/>
              <w:autoSpaceDN w:val="0"/>
              <w:spacing w:line="252" w:lineRule="auto"/>
            </w:pPr>
            <w:r>
              <w:rPr>
                <w:color w:val="000000"/>
                <w:lang w:eastAsia="en-GB"/>
              </w:rPr>
              <w:t xml:space="preserve">Papildus lūdzam skatīt </w:t>
            </w:r>
            <w:r w:rsidRPr="008951BD">
              <w:t xml:space="preserve">VAS „Latvijas dzelzceļš” mājas lapā: </w:t>
            </w:r>
            <w:r w:rsidRPr="008951BD">
              <w:rPr>
                <w:i/>
                <w:iCs/>
              </w:rPr>
              <w:t>https://www.ldz.lv/lv/iepirkumi</w:t>
            </w:r>
            <w:r w:rsidRPr="008951BD">
              <w:t xml:space="preserve"> šī iepirkuma sadaļā publicēto pielikumu Skaidrojumam Nr.</w:t>
            </w:r>
            <w:r>
              <w:t>1</w:t>
            </w:r>
            <w:r w:rsidRPr="008951BD">
              <w:t xml:space="preserve"> - </w:t>
            </w:r>
            <w:r w:rsidRPr="008951BD">
              <w:rPr>
                <w:u w:val="single"/>
              </w:rPr>
              <w:t xml:space="preserve">failu </w:t>
            </w:r>
            <w:r>
              <w:rPr>
                <w:i/>
                <w:iCs/>
                <w:u w:val="single"/>
              </w:rPr>
              <w:t>MS Excel</w:t>
            </w:r>
            <w:r w:rsidRPr="008951BD">
              <w:rPr>
                <w:u w:val="single"/>
              </w:rPr>
              <w:t xml:space="preserve"> formātā: </w:t>
            </w:r>
            <w:r w:rsidRPr="008951BD">
              <w:rPr>
                <w:color w:val="222222"/>
                <w:u w:val="single"/>
              </w:rPr>
              <w:t>„</w:t>
            </w:r>
            <w:r>
              <w:rPr>
                <w:u w:val="single"/>
              </w:rPr>
              <w:t>Statistika</w:t>
            </w:r>
            <w:r w:rsidRPr="008951BD">
              <w:rPr>
                <w:u w:val="single"/>
              </w:rPr>
              <w:t>”.</w:t>
            </w:r>
          </w:p>
          <w:p w14:paraId="34263583" w14:textId="77777777" w:rsidR="007E77FD" w:rsidRPr="00770DC5" w:rsidRDefault="007E77FD" w:rsidP="001F3695">
            <w:pPr>
              <w:ind w:left="35"/>
              <w:rPr>
                <w:color w:val="000000"/>
                <w:lang w:eastAsia="en-GB"/>
              </w:rPr>
            </w:pPr>
          </w:p>
        </w:tc>
      </w:tr>
      <w:tr w:rsidR="00960198" w:rsidRPr="006C6AAF" w14:paraId="775DA055" w14:textId="77777777" w:rsidTr="007E77FD">
        <w:trPr>
          <w:trHeight w:val="546"/>
        </w:trPr>
        <w:tc>
          <w:tcPr>
            <w:tcW w:w="709" w:type="dxa"/>
            <w:shd w:val="clear" w:color="auto" w:fill="auto"/>
          </w:tcPr>
          <w:p w14:paraId="491461F2" w14:textId="2B6A1F0A" w:rsidR="00960198" w:rsidRPr="006C6AAF" w:rsidRDefault="00960198" w:rsidP="00960198">
            <w:pPr>
              <w:jc w:val="center"/>
              <w:rPr>
                <w:rFonts w:eastAsia="Calibri"/>
              </w:rPr>
            </w:pPr>
            <w:r w:rsidRPr="00C6244C">
              <w:rPr>
                <w:rFonts w:eastAsia="Calibri"/>
              </w:rPr>
              <w:t>8.</w:t>
            </w:r>
          </w:p>
        </w:tc>
        <w:tc>
          <w:tcPr>
            <w:tcW w:w="4537" w:type="dxa"/>
            <w:shd w:val="clear" w:color="auto" w:fill="auto"/>
          </w:tcPr>
          <w:p w14:paraId="2DFE60F9" w14:textId="21357E81" w:rsidR="00960198" w:rsidRPr="006C6AAF" w:rsidRDefault="00960198" w:rsidP="00960198">
            <w:pPr>
              <w:rPr>
                <w:rFonts w:eastAsia="Times New Roman"/>
                <w:color w:val="000000"/>
                <w:lang w:eastAsia="en-GB"/>
              </w:rPr>
            </w:pPr>
            <w:r w:rsidRPr="00C6244C">
              <w:t>Punktā 2.7. ir minēta video sarunu ierakstīšana. Vai varat precizēt, kas ar to ir domāts?</w:t>
            </w:r>
          </w:p>
        </w:tc>
        <w:tc>
          <w:tcPr>
            <w:tcW w:w="4855" w:type="dxa"/>
            <w:shd w:val="clear" w:color="auto" w:fill="auto"/>
          </w:tcPr>
          <w:p w14:paraId="12DB050E" w14:textId="1C42D35D" w:rsidR="00960198" w:rsidRDefault="00960198" w:rsidP="00960198">
            <w:pPr>
              <w:ind w:left="35"/>
              <w:rPr>
                <w:color w:val="000000"/>
                <w:lang w:eastAsia="en-GB"/>
              </w:rPr>
            </w:pPr>
            <w:r>
              <w:t>Skaidrojam, ka pasūtītājam sarunu procedūras priekšmetā minētā pakalpojuma izpildei nepieciešams</w:t>
            </w:r>
            <w:r w:rsidRPr="00C6244C">
              <w:t xml:space="preserve">, lai </w:t>
            </w:r>
            <w:r>
              <w:t xml:space="preserve">telefona </w:t>
            </w:r>
            <w:r w:rsidRPr="00C6244C">
              <w:t>sarunas laikā tiktu reģistrēts operatora ekrāns,</w:t>
            </w:r>
            <w:r>
              <w:t xml:space="preserve"> proti,</w:t>
            </w:r>
            <w:r w:rsidRPr="00C6244C">
              <w:t xml:space="preserve"> lai </w:t>
            </w:r>
            <w:r>
              <w:t>būtu iespējams</w:t>
            </w:r>
            <w:r w:rsidRPr="00C6244C">
              <w:t xml:space="preserve"> redzēt</w:t>
            </w:r>
            <w:r>
              <w:t>,</w:t>
            </w:r>
            <w:r w:rsidRPr="00C6244C">
              <w:t xml:space="preserve"> kur tiek meklēta informācija, kas tiek darīts u</w:t>
            </w:r>
            <w:r>
              <w:t>.tml. Minēto</w:t>
            </w:r>
            <w:r w:rsidRPr="00C6244C">
              <w:t xml:space="preserve"> arī nodrošina video ierakstīšanas sistēma – vienlaicīgi</w:t>
            </w:r>
            <w:r>
              <w:t>,</w:t>
            </w:r>
            <w:r w:rsidRPr="00C6244C">
              <w:t xml:space="preserve"> </w:t>
            </w:r>
            <w:r>
              <w:t xml:space="preserve">nodrošinot iespēju pasūtītājām </w:t>
            </w:r>
            <w:r w:rsidRPr="00C6244C">
              <w:t>dzird</w:t>
            </w:r>
            <w:r>
              <w:t>ēt</w:t>
            </w:r>
            <w:r w:rsidRPr="00C6244C">
              <w:t xml:space="preserve"> un redz</w:t>
            </w:r>
            <w:r>
              <w:t>ēt</w:t>
            </w:r>
            <w:r w:rsidRPr="00C6244C">
              <w:t xml:space="preserve">, kas tiek darīts </w:t>
            </w:r>
            <w:r>
              <w:t>zvana apkalpošanas laikā.</w:t>
            </w:r>
          </w:p>
        </w:tc>
      </w:tr>
    </w:tbl>
    <w:p w14:paraId="766446A3" w14:textId="77777777" w:rsidR="007E77FD" w:rsidRPr="00291EAB" w:rsidRDefault="007E77FD" w:rsidP="007E77FD">
      <w:pPr>
        <w:rPr>
          <w:rFonts w:ascii="Arial" w:hAnsi="Arial" w:cs="Arial"/>
          <w:highlight w:val="yellow"/>
        </w:rPr>
      </w:pPr>
    </w:p>
    <w:p w14:paraId="302F5951" w14:textId="77777777" w:rsidR="007E77FD" w:rsidRDefault="007E77FD" w:rsidP="007E77FD">
      <w:pPr>
        <w:ind w:right="-1"/>
        <w:jc w:val="right"/>
        <w:rPr>
          <w:rFonts w:ascii="Arial" w:hAnsi="Arial" w:cs="Arial"/>
        </w:rPr>
      </w:pPr>
    </w:p>
    <w:p w14:paraId="6D685B0F" w14:textId="77777777" w:rsidR="007E77FD" w:rsidRPr="00C20434" w:rsidRDefault="007E77FD" w:rsidP="007E77FD">
      <w:pPr>
        <w:rPr>
          <w:rFonts w:ascii="Arial" w:hAnsi="Arial" w:cs="Arial"/>
        </w:rPr>
      </w:pPr>
    </w:p>
    <w:p w14:paraId="781DEC3A" w14:textId="7FF6C349" w:rsidR="0098236C" w:rsidRPr="00C20434" w:rsidRDefault="007E77FD">
      <w:pPr>
        <w:rPr>
          <w:rFonts w:ascii="Arial" w:hAnsi="Arial" w:cs="Arial"/>
        </w:rPr>
      </w:pPr>
      <w:r>
        <w:rPr>
          <w:rFonts w:ascii="Arial" w:hAnsi="Arial" w:cs="Arial"/>
        </w:rPr>
        <w:t xml:space="preserve"> </w:t>
      </w:r>
    </w:p>
    <w:sectPr w:rsidR="0098236C" w:rsidRPr="00C20434" w:rsidSect="00221889">
      <w:pgSz w:w="11906" w:h="16838"/>
      <w:pgMar w:top="567" w:right="1797" w:bottom="567"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6E91"/>
    <w:multiLevelType w:val="hybridMultilevel"/>
    <w:tmpl w:val="14FEC820"/>
    <w:lvl w:ilvl="0" w:tplc="5DFC1F8E">
      <w:start w:val="1"/>
      <w:numFmt w:val="decimal"/>
      <w:lvlText w:val="%1)"/>
      <w:lvlJc w:val="left"/>
      <w:pPr>
        <w:ind w:left="1352" w:hanging="360"/>
      </w:pPr>
      <w:rPr>
        <w:b/>
      </w:rPr>
    </w:lvl>
    <w:lvl w:ilvl="1" w:tplc="04260019">
      <w:start w:val="1"/>
      <w:numFmt w:val="lowerLetter"/>
      <w:lvlText w:val="%2."/>
      <w:lvlJc w:val="left"/>
      <w:pPr>
        <w:ind w:left="2072" w:hanging="360"/>
      </w:pPr>
    </w:lvl>
    <w:lvl w:ilvl="2" w:tplc="0426001B">
      <w:start w:val="1"/>
      <w:numFmt w:val="lowerRoman"/>
      <w:lvlText w:val="%3."/>
      <w:lvlJc w:val="right"/>
      <w:pPr>
        <w:ind w:left="2792" w:hanging="180"/>
      </w:pPr>
    </w:lvl>
    <w:lvl w:ilvl="3" w:tplc="0426000F">
      <w:start w:val="1"/>
      <w:numFmt w:val="decimal"/>
      <w:lvlText w:val="%4."/>
      <w:lvlJc w:val="left"/>
      <w:pPr>
        <w:ind w:left="3512" w:hanging="360"/>
      </w:pPr>
    </w:lvl>
    <w:lvl w:ilvl="4" w:tplc="04260019">
      <w:start w:val="1"/>
      <w:numFmt w:val="lowerLetter"/>
      <w:lvlText w:val="%5."/>
      <w:lvlJc w:val="left"/>
      <w:pPr>
        <w:ind w:left="4232" w:hanging="360"/>
      </w:pPr>
    </w:lvl>
    <w:lvl w:ilvl="5" w:tplc="0426001B">
      <w:start w:val="1"/>
      <w:numFmt w:val="lowerRoman"/>
      <w:lvlText w:val="%6."/>
      <w:lvlJc w:val="right"/>
      <w:pPr>
        <w:ind w:left="4952" w:hanging="180"/>
      </w:pPr>
    </w:lvl>
    <w:lvl w:ilvl="6" w:tplc="0426000F">
      <w:start w:val="1"/>
      <w:numFmt w:val="decimal"/>
      <w:lvlText w:val="%7."/>
      <w:lvlJc w:val="left"/>
      <w:pPr>
        <w:ind w:left="5672" w:hanging="360"/>
      </w:pPr>
    </w:lvl>
    <w:lvl w:ilvl="7" w:tplc="04260019">
      <w:start w:val="1"/>
      <w:numFmt w:val="lowerLetter"/>
      <w:lvlText w:val="%8."/>
      <w:lvlJc w:val="left"/>
      <w:pPr>
        <w:ind w:left="6392" w:hanging="360"/>
      </w:pPr>
    </w:lvl>
    <w:lvl w:ilvl="8" w:tplc="0426001B">
      <w:start w:val="1"/>
      <w:numFmt w:val="lowerRoman"/>
      <w:lvlText w:val="%9."/>
      <w:lvlJc w:val="right"/>
      <w:pPr>
        <w:ind w:left="7112" w:hanging="180"/>
      </w:pPr>
    </w:lvl>
  </w:abstractNum>
  <w:abstractNum w:abstractNumId="1" w15:restartNumberingAfterBreak="0">
    <w:nsid w:val="09FE7ADC"/>
    <w:multiLevelType w:val="hybridMultilevel"/>
    <w:tmpl w:val="74A6780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E7270C9"/>
    <w:multiLevelType w:val="hybridMultilevel"/>
    <w:tmpl w:val="62F485BA"/>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4C13A39"/>
    <w:multiLevelType w:val="hybridMultilevel"/>
    <w:tmpl w:val="30B0419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7FD"/>
    <w:rsid w:val="003204EA"/>
    <w:rsid w:val="005D6E5B"/>
    <w:rsid w:val="007E77FD"/>
    <w:rsid w:val="00960198"/>
    <w:rsid w:val="0098236C"/>
    <w:rsid w:val="00C204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F0F7E"/>
  <w15:chartTrackingRefBased/>
  <w15:docId w15:val="{3B046450-B57E-45C2-A7E6-396AF1EE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7FD"/>
    <w:pPr>
      <w:spacing w:after="0" w:line="240" w:lineRule="auto"/>
      <w:jc w:val="both"/>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2722</Words>
  <Characters>1552</Characters>
  <Application>Microsoft Office Word</Application>
  <DocSecurity>0</DocSecurity>
  <Lines>12</Lines>
  <Paragraphs>8</Paragraphs>
  <ScaleCrop>false</ScaleCrop>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Santa Balode</cp:lastModifiedBy>
  <cp:revision>3</cp:revision>
  <dcterms:created xsi:type="dcterms:W3CDTF">2020-10-29T12:09:00Z</dcterms:created>
  <dcterms:modified xsi:type="dcterms:W3CDTF">2020-10-30T08:20:00Z</dcterms:modified>
</cp:coreProperties>
</file>