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18B76A64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992389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B55734">
        <w:rPr>
          <w:rFonts w:ascii="Times New Roman" w:eastAsia="Arial Unicode MS" w:hAnsi="Times New Roman" w:cs="Times New Roman"/>
          <w:i/>
          <w:sz w:val="24"/>
          <w:szCs w:val="24"/>
        </w:rPr>
        <w:t>31</w:t>
      </w:r>
      <w:r w:rsidR="002A2ACD" w:rsidRPr="00FC176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A8172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C7017">
        <w:rPr>
          <w:rFonts w:ascii="Times New Roman" w:eastAsia="Arial Unicode MS" w:hAnsi="Times New Roman" w:cs="Times New Roman"/>
          <w:i/>
          <w:sz w:val="24"/>
          <w:szCs w:val="24"/>
        </w:rPr>
        <w:t>marta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0022CD3F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FA273A" w:rsidRPr="00FA273A">
        <w:rPr>
          <w:b/>
          <w:sz w:val="24"/>
          <w:szCs w:val="24"/>
        </w:rPr>
        <w:t>Krāšņu kurināmās marķētās dīzeļdegvielas piegāde SIA "LDZ ritošā sastāva serviss" vajadzībām</w:t>
      </w:r>
      <w:r w:rsidRPr="00AA44A7">
        <w:rPr>
          <w:b/>
          <w:sz w:val="24"/>
          <w:szCs w:val="24"/>
        </w:rPr>
        <w:t>”</w:t>
      </w:r>
      <w:bookmarkEnd w:id="1"/>
    </w:p>
    <w:p w14:paraId="6332F65D" w14:textId="14B872C0" w:rsidR="001A3CAD" w:rsidRPr="00AA44A7" w:rsidRDefault="002A2ACD" w:rsidP="00DB2F93">
      <w:pPr>
        <w:pStyle w:val="Nosaukums"/>
        <w:rPr>
          <w:b/>
          <w:sz w:val="24"/>
          <w:szCs w:val="24"/>
        </w:rPr>
      </w:pPr>
      <w:r w:rsidRPr="00AA44A7">
        <w:rPr>
          <w:b/>
          <w:sz w:val="24"/>
          <w:szCs w:val="24"/>
        </w:rPr>
        <w:t xml:space="preserve">(iepirkuma identifikācijas numurs: LDZ </w:t>
      </w:r>
      <w:r w:rsidR="00992389" w:rsidRPr="00992389">
        <w:rPr>
          <w:b/>
          <w:sz w:val="24"/>
          <w:szCs w:val="24"/>
        </w:rPr>
        <w:t>2023/</w:t>
      </w:r>
      <w:r w:rsidR="00FA273A">
        <w:rPr>
          <w:b/>
          <w:sz w:val="24"/>
          <w:szCs w:val="24"/>
        </w:rPr>
        <w:t>68</w:t>
      </w:r>
      <w:r w:rsidR="00992389" w:rsidRPr="00992389">
        <w:rPr>
          <w:b/>
          <w:sz w:val="24"/>
          <w:szCs w:val="24"/>
        </w:rPr>
        <w:t>-SPA</w:t>
      </w:r>
      <w:r w:rsidRPr="00AA44A7">
        <w:rPr>
          <w:b/>
          <w:sz w:val="24"/>
          <w:szCs w:val="24"/>
        </w:rPr>
        <w:t>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4737" w:type="dxa"/>
        <w:jc w:val="center"/>
        <w:tblLook w:val="04A0" w:firstRow="1" w:lastRow="0" w:firstColumn="1" w:lastColumn="0" w:noHBand="0" w:noVBand="1"/>
      </w:tblPr>
      <w:tblGrid>
        <w:gridCol w:w="847"/>
        <w:gridCol w:w="6936"/>
        <w:gridCol w:w="6954"/>
      </w:tblGrid>
      <w:tr w:rsidR="00FA273A" w:rsidRPr="00DB2F93" w14:paraId="69F3C653" w14:textId="77777777" w:rsidTr="00CC223E">
        <w:trPr>
          <w:trHeight w:val="678"/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6936" w:type="dxa"/>
            <w:shd w:val="clear" w:color="auto" w:fill="FFF2CC" w:themeFill="accent4" w:themeFillTint="33"/>
          </w:tcPr>
          <w:p w14:paraId="59485BCF" w14:textId="7A585C66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B5573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i</w:t>
            </w:r>
          </w:p>
        </w:tc>
        <w:tc>
          <w:tcPr>
            <w:tcW w:w="6954" w:type="dxa"/>
            <w:shd w:val="clear" w:color="auto" w:fill="FFF2CC" w:themeFill="accent4" w:themeFillTint="33"/>
          </w:tcPr>
          <w:p w14:paraId="47F70125" w14:textId="2ADDA1A1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  <w:r w:rsidR="00B5573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</w:tr>
      <w:tr w:rsidR="00FA273A" w:rsidRPr="00DB2F93" w14:paraId="4595B810" w14:textId="77777777" w:rsidTr="00CC223E">
        <w:trPr>
          <w:trHeight w:val="273"/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936" w:type="dxa"/>
            <w:shd w:val="clear" w:color="auto" w:fill="FFF2CC" w:themeFill="accent4" w:themeFillTint="33"/>
          </w:tcPr>
          <w:p w14:paraId="4C990A7F" w14:textId="23C9AF32" w:rsidR="00A8350E" w:rsidRPr="00DB2F93" w:rsidRDefault="007C701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FA273A">
              <w:rPr>
                <w:rFonts w:ascii="Times New Roman" w:eastAsia="Calibri" w:hAnsi="Times New Roman" w:cs="Times New Roman"/>
                <w:i/>
                <w:lang w:eastAsia="en-US"/>
              </w:rPr>
              <w:t>4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6954" w:type="dxa"/>
            <w:shd w:val="clear" w:color="auto" w:fill="FFF2CC" w:themeFill="accent4" w:themeFillTint="33"/>
          </w:tcPr>
          <w:p w14:paraId="263475BE" w14:textId="2A08A7A9" w:rsidR="00A8350E" w:rsidRPr="00DB2F93" w:rsidRDefault="00CC223E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31</w:t>
            </w:r>
            <w:r w:rsidR="00A8350E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7C7017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FA273A" w:rsidRPr="00DB2F93" w14:paraId="466E5168" w14:textId="77777777" w:rsidTr="00CC223E">
        <w:trPr>
          <w:trHeight w:val="1118"/>
          <w:jc w:val="center"/>
        </w:trPr>
        <w:tc>
          <w:tcPr>
            <w:tcW w:w="847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6936" w:type="dxa"/>
            <w:shd w:val="clear" w:color="auto" w:fill="auto"/>
          </w:tcPr>
          <w:p w14:paraId="2DD2D7E4" w14:textId="72D3F2B4" w:rsidR="00FA273A" w:rsidRDefault="00FA273A" w:rsidP="00FA273A">
            <w:pPr>
              <w:rPr>
                <w:rFonts w:ascii="Times New Roman" w:hAnsi="Times New Roman" w:cs="Times New Roman"/>
                <w:sz w:val="22"/>
              </w:rPr>
            </w:pPr>
            <w:r w:rsidRPr="00FA273A">
              <w:rPr>
                <w:rFonts w:ascii="Times New Roman" w:hAnsi="Times New Roman" w:cs="Times New Roman"/>
                <w:sz w:val="22"/>
              </w:rPr>
              <w:t>Lūdzu labot tekstā “faktiskais blīvums” un noteikt konstantu lielumu. T.i. to pašu, kas minēts 1.9.4. punktā,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273A">
              <w:rPr>
                <w:rFonts w:ascii="Times New Roman" w:hAnsi="Times New Roman" w:cs="Times New Roman"/>
                <w:sz w:val="22"/>
              </w:rPr>
              <w:t>jo faktiskais blīvums ir zināms tikai produkta ieliešanas mašīnā brīdī un tādejādi arī cena var tikt aprēķināta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273A">
              <w:rPr>
                <w:rFonts w:ascii="Times New Roman" w:hAnsi="Times New Roman" w:cs="Times New Roman"/>
                <w:sz w:val="22"/>
              </w:rPr>
              <w:t>tikai tad. Taču mašīna nereti tiek uzkrauta iepriekšējā vakarā, lai varētu atvest uz Daugavpili agro piegādi,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273A">
              <w:rPr>
                <w:rFonts w:ascii="Times New Roman" w:hAnsi="Times New Roman" w:cs="Times New Roman"/>
                <w:sz w:val="22"/>
              </w:rPr>
              <w:t>kuru parasti piesaka Jūsu pārstāvis. Kā arī pasūtījumi tiek veikti ne vis tā, lai tos var piegādāt nolikumā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A273A">
              <w:rPr>
                <w:rFonts w:ascii="Times New Roman" w:hAnsi="Times New Roman" w:cs="Times New Roman"/>
                <w:sz w:val="22"/>
              </w:rPr>
              <w:t>noteikto 5 darba dienu laikā, bet ar laiku - nākamā vai aiznākamā diena.</w:t>
            </w:r>
          </w:p>
          <w:p w14:paraId="4812E0E5" w14:textId="13D1F68B" w:rsidR="00FA273A" w:rsidRPr="00FA273A" w:rsidRDefault="00FA273A" w:rsidP="00FA273A">
            <w:pPr>
              <w:rPr>
                <w:rFonts w:ascii="Times New Roman" w:hAnsi="Times New Roman" w:cs="Times New Roman"/>
                <w:sz w:val="22"/>
              </w:rPr>
            </w:pPr>
            <w:r w:rsidRPr="00FA27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A6C925" wp14:editId="5752476E">
                  <wp:extent cx="4267200" cy="21336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990" cy="214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99581" w14:textId="3616B52A" w:rsidR="00883223" w:rsidRPr="00DB2F93" w:rsidRDefault="00883223" w:rsidP="00FA273A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954" w:type="dxa"/>
            <w:shd w:val="clear" w:color="auto" w:fill="auto"/>
          </w:tcPr>
          <w:p w14:paraId="70718F50" w14:textId="77777777" w:rsidR="0046222F" w:rsidRDefault="0046222F" w:rsidP="00B557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Skatīt Grozījumus Nr.1</w:t>
            </w:r>
          </w:p>
          <w:p w14:paraId="1A690543" w14:textId="47BB1DC3" w:rsidR="00B55734" w:rsidRPr="00B55734" w:rsidRDefault="00B55734" w:rsidP="00B55734">
            <w:pPr>
              <w:rPr>
                <w:rFonts w:ascii="Times New Roman" w:hAnsi="Times New Roman" w:cs="Times New Roman"/>
                <w:sz w:val="22"/>
              </w:rPr>
            </w:pPr>
            <w:r w:rsidRPr="00B55734">
              <w:rPr>
                <w:rFonts w:ascii="Times New Roman" w:hAnsi="Times New Roman" w:cs="Times New Roman"/>
                <w:sz w:val="22"/>
              </w:rPr>
              <w:t xml:space="preserve">Preces cena tiek aprēķināta  saskaņā ar formulu, kā arī visi formulā ietvertie lielumi, dienu pirms piegādes datuma. </w:t>
            </w:r>
          </w:p>
          <w:p w14:paraId="16C81065" w14:textId="77777777" w:rsidR="0046222F" w:rsidRDefault="00B55734" w:rsidP="0046222F">
            <w:pPr>
              <w:rPr>
                <w:rFonts w:ascii="Times New Roman" w:hAnsi="Times New Roman" w:cs="Times New Roman"/>
                <w:sz w:val="22"/>
              </w:rPr>
            </w:pPr>
            <w:r w:rsidRPr="00B55734">
              <w:rPr>
                <w:rFonts w:ascii="Times New Roman" w:hAnsi="Times New Roman" w:cs="Times New Roman"/>
                <w:sz w:val="22"/>
              </w:rPr>
              <w:t>Saskaņā ar nolikuma  7.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734">
              <w:rPr>
                <w:rFonts w:ascii="Times New Roman" w:hAnsi="Times New Roman" w:cs="Times New Roman"/>
                <w:sz w:val="22"/>
              </w:rPr>
              <w:t>pielikumu “Līguma projekts” 4.1.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734">
              <w:rPr>
                <w:rFonts w:ascii="Times New Roman" w:hAnsi="Times New Roman" w:cs="Times New Roman"/>
                <w:sz w:val="22"/>
              </w:rPr>
              <w:t>punktu konkrētās preču partijas piegādes termiņš ir 5 (</w:t>
            </w:r>
            <w:r w:rsidRPr="009B4E3A">
              <w:rPr>
                <w:rFonts w:ascii="Times New Roman" w:hAnsi="Times New Roman" w:cs="Times New Roman"/>
                <w:i/>
                <w:iCs/>
                <w:sz w:val="22"/>
              </w:rPr>
              <w:t>piecas</w:t>
            </w:r>
            <w:r w:rsidRPr="00B55734">
              <w:rPr>
                <w:rFonts w:ascii="Times New Roman" w:hAnsi="Times New Roman" w:cs="Times New Roman"/>
                <w:sz w:val="22"/>
              </w:rPr>
              <w:t>) darba dienas no pircēja rakstveidā pieteikuma iesniegšanas dienas.</w:t>
            </w:r>
            <w:r w:rsidR="0046222F" w:rsidRPr="00B5573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16D24B9" w14:textId="77777777" w:rsidR="0046222F" w:rsidRDefault="0046222F" w:rsidP="0046222F">
            <w:pPr>
              <w:rPr>
                <w:rFonts w:ascii="Times New Roman" w:hAnsi="Times New Roman" w:cs="Times New Roman"/>
                <w:sz w:val="22"/>
              </w:rPr>
            </w:pPr>
          </w:p>
          <w:p w14:paraId="0B2931F6" w14:textId="147FA766" w:rsidR="003A407E" w:rsidRPr="00581226" w:rsidRDefault="003A407E" w:rsidP="0046222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A273A" w:rsidRPr="00DB2F93" w14:paraId="11F6F50B" w14:textId="77777777" w:rsidTr="00CC223E">
        <w:trPr>
          <w:trHeight w:val="1118"/>
          <w:jc w:val="center"/>
        </w:trPr>
        <w:tc>
          <w:tcPr>
            <w:tcW w:w="847" w:type="dxa"/>
            <w:shd w:val="clear" w:color="auto" w:fill="auto"/>
          </w:tcPr>
          <w:p w14:paraId="482EBD22" w14:textId="4D4957FA" w:rsidR="00FA273A" w:rsidRPr="00DB2F93" w:rsidRDefault="00FA273A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6936" w:type="dxa"/>
            <w:shd w:val="clear" w:color="auto" w:fill="auto"/>
          </w:tcPr>
          <w:p w14:paraId="68F6C6BD" w14:textId="1F1DA313" w:rsidR="00FA273A" w:rsidRPr="00FA273A" w:rsidRDefault="00FA273A" w:rsidP="00FA2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A273A">
              <w:rPr>
                <w:rFonts w:ascii="Times New Roman" w:hAnsi="Times New Roman" w:cs="Times New Roman"/>
              </w:rPr>
              <w:t>ūdzu cenas noteikšanai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73A">
              <w:rPr>
                <w:rFonts w:ascii="Times New Roman" w:hAnsi="Times New Roman" w:cs="Times New Roman"/>
              </w:rPr>
              <w:t>izmantot platts kotāciju ULSD 10 ppm high, šo kotāciju izmanto Latvijas degvielas tirgotāji, kā zināms</w:t>
            </w:r>
          </w:p>
          <w:p w14:paraId="441AAA7A" w14:textId="2B339144" w:rsidR="00FA273A" w:rsidRPr="00FA273A" w:rsidRDefault="00FA273A" w:rsidP="00FA273A">
            <w:pPr>
              <w:rPr>
                <w:rFonts w:ascii="Times New Roman" w:hAnsi="Times New Roman" w:cs="Times New Roman"/>
              </w:rPr>
            </w:pPr>
            <w:r w:rsidRPr="00FA273A">
              <w:rPr>
                <w:rFonts w:ascii="Times New Roman" w:hAnsi="Times New Roman" w:cs="Times New Roman"/>
              </w:rPr>
              <w:t>pārsvarā degviela tiek iepirkta no Orlen. Pretēji citas platts kotācijas izmantošana var sagādāt grūtības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73A">
              <w:rPr>
                <w:rFonts w:ascii="Times New Roman" w:hAnsi="Times New Roman" w:cs="Times New Roman"/>
              </w:rPr>
              <w:t>piedalīties procedūrā, var nebūt pieejama.</w:t>
            </w:r>
          </w:p>
        </w:tc>
        <w:tc>
          <w:tcPr>
            <w:tcW w:w="6954" w:type="dxa"/>
            <w:shd w:val="clear" w:color="auto" w:fill="auto"/>
          </w:tcPr>
          <w:p w14:paraId="4E0ADE17" w14:textId="6883B8C4" w:rsidR="00FA273A" w:rsidRPr="00581226" w:rsidRDefault="0046222F" w:rsidP="00462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Skatīt Grozījumus Nr.1 </w:t>
            </w:r>
          </w:p>
        </w:tc>
      </w:tr>
      <w:tr w:rsidR="00FA273A" w:rsidRPr="00DB2F93" w14:paraId="1185E802" w14:textId="77777777" w:rsidTr="00CC223E">
        <w:trPr>
          <w:trHeight w:val="229"/>
          <w:jc w:val="center"/>
        </w:trPr>
        <w:tc>
          <w:tcPr>
            <w:tcW w:w="847" w:type="dxa"/>
            <w:shd w:val="clear" w:color="auto" w:fill="FFF2CC" w:themeFill="accent4" w:themeFillTint="33"/>
          </w:tcPr>
          <w:p w14:paraId="7BF73938" w14:textId="77777777" w:rsidR="00FA273A" w:rsidRPr="00DB2F93" w:rsidRDefault="00FA273A" w:rsidP="00FA273A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6" w:type="dxa"/>
            <w:shd w:val="clear" w:color="auto" w:fill="FFF2CC" w:themeFill="accent4" w:themeFillTint="33"/>
          </w:tcPr>
          <w:p w14:paraId="565B0B9C" w14:textId="54E77588" w:rsidR="00FA273A" w:rsidRDefault="00FA273A" w:rsidP="00FA2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27.03.2023.</w:t>
            </w:r>
          </w:p>
        </w:tc>
        <w:tc>
          <w:tcPr>
            <w:tcW w:w="6954" w:type="dxa"/>
            <w:shd w:val="clear" w:color="auto" w:fill="FFF2CC" w:themeFill="accent4" w:themeFillTint="33"/>
          </w:tcPr>
          <w:p w14:paraId="7DD939A8" w14:textId="6DAFAAA7" w:rsidR="00FA273A" w:rsidRDefault="00B55734" w:rsidP="00FA2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31</w:t>
            </w:r>
            <w:r w:rsidR="00FA273A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.03</w:t>
            </w:r>
            <w:r w:rsidR="00FA273A">
              <w:rPr>
                <w:rFonts w:ascii="Times New Roman" w:eastAsia="Calibri" w:hAnsi="Times New Roman" w:cs="Times New Roman"/>
                <w:i/>
                <w:lang w:eastAsia="en-US"/>
              </w:rPr>
              <w:t>.2023.</w:t>
            </w:r>
          </w:p>
        </w:tc>
      </w:tr>
      <w:tr w:rsidR="00FA273A" w:rsidRPr="00DB2F93" w14:paraId="3B97743F" w14:textId="77777777" w:rsidTr="00CC223E">
        <w:trPr>
          <w:trHeight w:val="1118"/>
          <w:jc w:val="center"/>
        </w:trPr>
        <w:tc>
          <w:tcPr>
            <w:tcW w:w="847" w:type="dxa"/>
            <w:shd w:val="clear" w:color="auto" w:fill="auto"/>
          </w:tcPr>
          <w:p w14:paraId="245DCEEC" w14:textId="31821F8B" w:rsidR="00FA273A" w:rsidRPr="00DB2F93" w:rsidRDefault="00FA273A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36" w:type="dxa"/>
            <w:shd w:val="clear" w:color="auto" w:fill="auto"/>
          </w:tcPr>
          <w:p w14:paraId="6F6FBDC7" w14:textId="00E9F1BC" w:rsidR="00FA273A" w:rsidRPr="00FA273A" w:rsidRDefault="00FA273A" w:rsidP="00FA273A">
            <w:pPr>
              <w:rPr>
                <w:rFonts w:ascii="Times New Roman" w:hAnsi="Times New Roman" w:cs="Times New Roman"/>
              </w:rPr>
            </w:pPr>
            <w:r w:rsidRPr="00FA273A">
              <w:rPr>
                <w:rFonts w:ascii="Times New Roman" w:hAnsi="Times New Roman" w:cs="Times New Roman"/>
              </w:rPr>
              <w:t>Finanšu piedāvājuma P lieluma 5 dienu vidējais ir ņemams līdz 22.03 ieskaitot (ja publicēts 24.03)</w:t>
            </w:r>
            <w:r w:rsidR="001461E4">
              <w:rPr>
                <w:rFonts w:ascii="Times New Roman" w:hAnsi="Times New Roman" w:cs="Times New Roman"/>
              </w:rPr>
              <w:t>?</w:t>
            </w:r>
          </w:p>
          <w:p w14:paraId="55FEBECC" w14:textId="163A169B" w:rsidR="00FA273A" w:rsidRPr="00FA273A" w:rsidRDefault="00FA273A" w:rsidP="00FA273A">
            <w:pPr>
              <w:rPr>
                <w:rFonts w:ascii="Times New Roman" w:hAnsi="Times New Roman" w:cs="Times New Roman"/>
              </w:rPr>
            </w:pPr>
            <w:r w:rsidRPr="00FA273A">
              <w:rPr>
                <w:rFonts w:ascii="Times New Roman" w:hAnsi="Times New Roman" w:cs="Times New Roman"/>
              </w:rPr>
              <w:t>Tā kā Finanšu piedāvājumā atšķirīgs var būt tikai “N” lielums, būtu vienkāršāk norādīt tikai to, izstrādāt finanšu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73A">
              <w:rPr>
                <w:rFonts w:ascii="Times New Roman" w:hAnsi="Times New Roman" w:cs="Times New Roman"/>
              </w:rPr>
              <w:t>piedāvājumu tādejādi.</w:t>
            </w:r>
          </w:p>
          <w:p w14:paraId="43EEB6CA" w14:textId="6DE83DAB" w:rsidR="00FA273A" w:rsidRPr="00FA273A" w:rsidRDefault="00FA273A" w:rsidP="00FA273A">
            <w:pPr>
              <w:rPr>
                <w:rFonts w:ascii="Times New Roman" w:hAnsi="Times New Roman" w:cs="Times New Roman"/>
              </w:rPr>
            </w:pPr>
            <w:r w:rsidRPr="00FA273A">
              <w:rPr>
                <w:rFonts w:ascii="Times New Roman" w:hAnsi="Times New Roman" w:cs="Times New Roman"/>
              </w:rPr>
              <w:t>Jeb, ja paliek jau izstrādātājs variants, lūdzu, norādīt “P” lielumu tā pat, kā ir norādīti konstantie “AN”, “VN” lielumi</w:t>
            </w:r>
            <w:r w:rsidR="001461E4">
              <w:rPr>
                <w:rFonts w:ascii="Times New Roman" w:hAnsi="Times New Roman" w:cs="Times New Roman"/>
              </w:rPr>
              <w:t xml:space="preserve"> </w:t>
            </w:r>
            <w:r w:rsidRPr="00FA273A">
              <w:rPr>
                <w:rFonts w:ascii="Times New Roman" w:hAnsi="Times New Roman" w:cs="Times New Roman"/>
              </w:rPr>
              <w:t>Jūsu nolikumā jeb norādīt precīzi datumus, par kuriem jāpielieto “P” lielums.</w:t>
            </w:r>
          </w:p>
          <w:p w14:paraId="3DD7EF74" w14:textId="571AA664" w:rsidR="00FA273A" w:rsidRDefault="00FA273A" w:rsidP="00FA273A">
            <w:pPr>
              <w:rPr>
                <w:rFonts w:ascii="Times New Roman" w:hAnsi="Times New Roman" w:cs="Times New Roman"/>
              </w:rPr>
            </w:pPr>
            <w:r w:rsidRPr="00FA273A">
              <w:rPr>
                <w:rFonts w:ascii="Times New Roman" w:hAnsi="Times New Roman" w:cs="Times New Roman"/>
              </w:rPr>
              <w:t xml:space="preserve">Lūdzu “P” lielumam ņemt vērā arī </w:t>
            </w:r>
            <w:r w:rsidR="001461E4">
              <w:rPr>
                <w:rFonts w:ascii="Times New Roman" w:hAnsi="Times New Roman" w:cs="Times New Roman"/>
              </w:rPr>
              <w:t>iepriekš</w:t>
            </w:r>
            <w:r w:rsidRPr="00FA273A">
              <w:rPr>
                <w:rFonts w:ascii="Times New Roman" w:hAnsi="Times New Roman" w:cs="Times New Roman"/>
              </w:rPr>
              <w:t xml:space="preserve"> uzdoto jautājumu, pēc kura izvērtēsim savu dalību šajā iepirkumā.</w:t>
            </w:r>
          </w:p>
        </w:tc>
        <w:tc>
          <w:tcPr>
            <w:tcW w:w="6954" w:type="dxa"/>
            <w:shd w:val="clear" w:color="auto" w:fill="auto"/>
          </w:tcPr>
          <w:p w14:paraId="200A0611" w14:textId="281F3E5C" w:rsidR="00FA273A" w:rsidRDefault="00B55734" w:rsidP="00DB2F93">
            <w:pPr>
              <w:rPr>
                <w:rFonts w:ascii="Times New Roman" w:hAnsi="Times New Roman" w:cs="Times New Roman"/>
              </w:rPr>
            </w:pPr>
            <w:r w:rsidRPr="00B55734">
              <w:rPr>
                <w:rFonts w:ascii="Times New Roman" w:hAnsi="Times New Roman" w:cs="Times New Roman"/>
              </w:rPr>
              <w:t xml:space="preserve">Finanšu piedāvājumā aprēķinot  “P” lielumu, tiek  ņemta iepriekšējo 5 (piecu) dienu, pirms  sarunu procedūras paziņojuma publicēšanas dienas VAS “Latvijas dzelzceļš” mājas lapā </w:t>
            </w:r>
            <w:hyperlink r:id="rId12" w:history="1">
              <w:r w:rsidRPr="00B55734">
                <w:rPr>
                  <w:rStyle w:val="Hipersaite"/>
                  <w:rFonts w:ascii="Times New Roman" w:hAnsi="Times New Roman" w:cs="Times New Roman"/>
                </w:rPr>
                <w:t>www.ldz.lv</w:t>
              </w:r>
            </w:hyperlink>
            <w:r w:rsidRPr="00B55734">
              <w:rPr>
                <w:rFonts w:ascii="Times New Roman" w:hAnsi="Times New Roman" w:cs="Times New Roman"/>
              </w:rPr>
              <w:t>, aģentūras S&amp;P Global Platts “European Marketscan” publikāciju “</w:t>
            </w:r>
            <w:r w:rsidRPr="00B55734">
              <w:rPr>
                <w:rFonts w:ascii="Times New Roman" w:hAnsi="Times New Roman" w:cs="Times New Roman"/>
                <w:i/>
                <w:iCs/>
              </w:rPr>
              <w:t>ULSD 10 PPM</w:t>
            </w:r>
            <w:r w:rsidRPr="00B55734">
              <w:rPr>
                <w:rFonts w:ascii="Times New Roman" w:hAnsi="Times New Roman" w:cs="Times New Roman"/>
              </w:rPr>
              <w:t xml:space="preserve">” </w:t>
            </w:r>
            <w:r w:rsidRPr="00B55734">
              <w:rPr>
                <w:rFonts w:ascii="Times New Roman" w:hAnsi="Times New Roman" w:cs="Times New Roman"/>
                <w:i/>
                <w:iCs/>
              </w:rPr>
              <w:t xml:space="preserve">vidējā </w:t>
            </w:r>
            <w:r w:rsidR="0099771A">
              <w:rPr>
                <w:rFonts w:ascii="Times New Roman" w:hAnsi="Times New Roman" w:cs="Times New Roman"/>
                <w:i/>
                <w:iCs/>
              </w:rPr>
              <w:t xml:space="preserve">no </w:t>
            </w:r>
            <w:r w:rsidRPr="00B55734">
              <w:rPr>
                <w:rFonts w:ascii="Times New Roman" w:hAnsi="Times New Roman" w:cs="Times New Roman"/>
                <w:i/>
                <w:iCs/>
              </w:rPr>
              <w:t>augstākajām  vērtībām</w:t>
            </w:r>
            <w:r w:rsidRPr="00B55734">
              <w:rPr>
                <w:rFonts w:ascii="Times New Roman" w:hAnsi="Times New Roman" w:cs="Times New Roman"/>
              </w:rPr>
              <w:t>, kuras publicētas zem virsraksta “Northwest Europe cargoes CIF NWE/ Basis ARA” pārrēķināta cenā par 1 (</w:t>
            </w:r>
            <w:r w:rsidRPr="00B55734">
              <w:rPr>
                <w:rFonts w:ascii="Times New Roman" w:hAnsi="Times New Roman" w:cs="Times New Roman"/>
                <w:i/>
                <w:iCs/>
              </w:rPr>
              <w:t>vienu</w:t>
            </w:r>
            <w:r w:rsidRPr="00B55734">
              <w:rPr>
                <w:rFonts w:ascii="Times New Roman" w:hAnsi="Times New Roman" w:cs="Times New Roman"/>
              </w:rPr>
              <w:t xml:space="preserve">) litru (nepārprotamībai, tiek skaidrots cenas aprēķins: </w:t>
            </w:r>
            <w:r w:rsidRPr="009C4C02">
              <w:rPr>
                <w:rFonts w:ascii="Times New Roman" w:hAnsi="Times New Roman" w:cs="Times New Roman"/>
                <w:i/>
                <w:iCs/>
                <w:u w:val="single"/>
              </w:rPr>
              <w:t>publicēta platts vērtība dienu pirms sarunu procedūras paziņojuma publicēšanas datuma</w:t>
            </w:r>
            <w:r w:rsidRPr="00B55734">
              <w:rPr>
                <w:rFonts w:ascii="Times New Roman" w:hAnsi="Times New Roman" w:cs="Times New Roman"/>
              </w:rPr>
              <w:t xml:space="preserve">, </w:t>
            </w:r>
            <w:r w:rsidRPr="009C4C02">
              <w:rPr>
                <w:rFonts w:ascii="Times New Roman" w:hAnsi="Times New Roman" w:cs="Times New Roman"/>
                <w:i/>
                <w:iCs/>
              </w:rPr>
              <w:t>t.i., ja publikācija ir 24.03.2023,  iepriekšējo 5 (piecu) dienu platts  kotācija tiek ņemta līdz 22.03.2023 ieskaitot)</w:t>
            </w:r>
            <w:r w:rsidRPr="00B55734">
              <w:rPr>
                <w:rFonts w:ascii="Times New Roman" w:hAnsi="Times New Roman" w:cs="Times New Roman"/>
              </w:rPr>
              <w:t xml:space="preserve">, Aprēķinot piedāvājuma cenu jāizmanto ECB valūtas kurss sarunu procedūras paziņojuma publicēšanas dienā VAS “Latvijas dzelzceļš” mājas lapā </w:t>
            </w:r>
            <w:hyperlink r:id="rId13" w:history="1">
              <w:r w:rsidRPr="009C4C02">
                <w:rPr>
                  <w:rStyle w:val="Hipersaite"/>
                  <w:rFonts w:ascii="Times New Roman" w:hAnsi="Times New Roman" w:cs="Times New Roman"/>
                </w:rPr>
                <w:t>www.ldz.lv</w:t>
              </w:r>
            </w:hyperlink>
            <w:r w:rsidRPr="00B55734">
              <w:rPr>
                <w:rFonts w:ascii="Times New Roman" w:hAnsi="Times New Roman" w:cs="Times New Roman"/>
              </w:rPr>
              <w:t xml:space="preserve">  un </w:t>
            </w:r>
            <w:r w:rsidRPr="009C4C02">
              <w:rPr>
                <w:rFonts w:ascii="Times New Roman" w:hAnsi="Times New Roman" w:cs="Times New Roman"/>
                <w:i/>
                <w:iCs/>
              </w:rPr>
              <w:t>dīzeļdegvielas blīvums ρ=0.835 kg/m</w:t>
            </w:r>
            <w:r w:rsidRPr="009C4C02">
              <w:rPr>
                <w:rFonts w:ascii="Times New Roman" w:hAnsi="Times New Roman" w:cs="Times New Roman"/>
                <w:i/>
                <w:iCs/>
                <w:vertAlign w:val="superscript"/>
              </w:rPr>
              <w:t>3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CC223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603E" w14:textId="77777777" w:rsidR="00595E76" w:rsidRDefault="00595E76" w:rsidP="00591256">
      <w:r>
        <w:separator/>
      </w:r>
    </w:p>
  </w:endnote>
  <w:endnote w:type="continuationSeparator" w:id="0">
    <w:p w14:paraId="5CFD3797" w14:textId="77777777" w:rsidR="00595E76" w:rsidRDefault="00595E76" w:rsidP="00591256">
      <w:r>
        <w:continuationSeparator/>
      </w:r>
    </w:p>
  </w:endnote>
  <w:endnote w:type="continuationNotice" w:id="1">
    <w:p w14:paraId="398AA41D" w14:textId="77777777" w:rsidR="00595E76" w:rsidRDefault="00595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1F5F" w14:textId="77777777" w:rsidR="00595E76" w:rsidRDefault="00595E76" w:rsidP="00591256">
      <w:r>
        <w:separator/>
      </w:r>
    </w:p>
  </w:footnote>
  <w:footnote w:type="continuationSeparator" w:id="0">
    <w:p w14:paraId="6A256730" w14:textId="77777777" w:rsidR="00595E76" w:rsidRDefault="00595E76" w:rsidP="00591256">
      <w:r>
        <w:continuationSeparator/>
      </w:r>
    </w:p>
  </w:footnote>
  <w:footnote w:type="continuationNotice" w:id="1">
    <w:p w14:paraId="3CB18231" w14:textId="77777777" w:rsidR="00595E76" w:rsidRDefault="00595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7212756">
    <w:abstractNumId w:val="8"/>
  </w:num>
  <w:num w:numId="2" w16cid:durableId="856121899">
    <w:abstractNumId w:val="5"/>
  </w:num>
  <w:num w:numId="3" w16cid:durableId="892470841">
    <w:abstractNumId w:val="4"/>
  </w:num>
  <w:num w:numId="4" w16cid:durableId="20059828">
    <w:abstractNumId w:val="2"/>
  </w:num>
  <w:num w:numId="5" w16cid:durableId="233128118">
    <w:abstractNumId w:val="7"/>
  </w:num>
  <w:num w:numId="6" w16cid:durableId="1959097841">
    <w:abstractNumId w:val="0"/>
  </w:num>
  <w:num w:numId="7" w16cid:durableId="155995700">
    <w:abstractNumId w:val="3"/>
  </w:num>
  <w:num w:numId="8" w16cid:durableId="82643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9889">
    <w:abstractNumId w:val="1"/>
  </w:num>
  <w:num w:numId="10" w16cid:durableId="8846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5A47"/>
    <w:rsid w:val="000D64DD"/>
    <w:rsid w:val="000D748C"/>
    <w:rsid w:val="000E5F48"/>
    <w:rsid w:val="000F07E7"/>
    <w:rsid w:val="000F1484"/>
    <w:rsid w:val="000F2F27"/>
    <w:rsid w:val="000F595D"/>
    <w:rsid w:val="001008E5"/>
    <w:rsid w:val="00103198"/>
    <w:rsid w:val="00107DB9"/>
    <w:rsid w:val="0011221E"/>
    <w:rsid w:val="00115906"/>
    <w:rsid w:val="00123AC1"/>
    <w:rsid w:val="00124FFD"/>
    <w:rsid w:val="00125CEF"/>
    <w:rsid w:val="00132AE1"/>
    <w:rsid w:val="00135EAE"/>
    <w:rsid w:val="0013696E"/>
    <w:rsid w:val="00137017"/>
    <w:rsid w:val="001377AC"/>
    <w:rsid w:val="001447C7"/>
    <w:rsid w:val="001461E4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267"/>
    <w:rsid w:val="001E151D"/>
    <w:rsid w:val="001E5162"/>
    <w:rsid w:val="001E5F18"/>
    <w:rsid w:val="001E66CB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443C"/>
    <w:rsid w:val="00287375"/>
    <w:rsid w:val="00293883"/>
    <w:rsid w:val="0029430C"/>
    <w:rsid w:val="0029616F"/>
    <w:rsid w:val="00297DEA"/>
    <w:rsid w:val="002A2ACD"/>
    <w:rsid w:val="002B1F81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24534"/>
    <w:rsid w:val="0033014F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1E06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222F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178F"/>
    <w:rsid w:val="0052252A"/>
    <w:rsid w:val="00522DD5"/>
    <w:rsid w:val="00523800"/>
    <w:rsid w:val="00535018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19E7"/>
    <w:rsid w:val="00592BA6"/>
    <w:rsid w:val="00595A88"/>
    <w:rsid w:val="00595E76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26F93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469F3"/>
    <w:rsid w:val="00753B4F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6CC3"/>
    <w:rsid w:val="007B0503"/>
    <w:rsid w:val="007B355C"/>
    <w:rsid w:val="007B7A8F"/>
    <w:rsid w:val="007C4A77"/>
    <w:rsid w:val="007C701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23421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62F5"/>
    <w:rsid w:val="00886AFE"/>
    <w:rsid w:val="00892BED"/>
    <w:rsid w:val="00897E13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11"/>
    <w:rsid w:val="009145B0"/>
    <w:rsid w:val="00917F02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901DE"/>
    <w:rsid w:val="00992389"/>
    <w:rsid w:val="00994C52"/>
    <w:rsid w:val="0099771A"/>
    <w:rsid w:val="009A242E"/>
    <w:rsid w:val="009B0457"/>
    <w:rsid w:val="009B0A00"/>
    <w:rsid w:val="009B221C"/>
    <w:rsid w:val="009B3F2D"/>
    <w:rsid w:val="009B46BB"/>
    <w:rsid w:val="009B4E3A"/>
    <w:rsid w:val="009C26A9"/>
    <w:rsid w:val="009C2C06"/>
    <w:rsid w:val="009C4C02"/>
    <w:rsid w:val="009C6896"/>
    <w:rsid w:val="009D27E0"/>
    <w:rsid w:val="009D2B2C"/>
    <w:rsid w:val="009D6415"/>
    <w:rsid w:val="009E1CC9"/>
    <w:rsid w:val="009E5489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63CF1"/>
    <w:rsid w:val="00A73A40"/>
    <w:rsid w:val="00A741E4"/>
    <w:rsid w:val="00A75BAC"/>
    <w:rsid w:val="00A8060D"/>
    <w:rsid w:val="00A8172F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FB9"/>
    <w:rsid w:val="00B55734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05C2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211C"/>
    <w:rsid w:val="00C1296A"/>
    <w:rsid w:val="00C33AF9"/>
    <w:rsid w:val="00C351C9"/>
    <w:rsid w:val="00C46156"/>
    <w:rsid w:val="00C47038"/>
    <w:rsid w:val="00C5337F"/>
    <w:rsid w:val="00C5452E"/>
    <w:rsid w:val="00C5788F"/>
    <w:rsid w:val="00C60D96"/>
    <w:rsid w:val="00C62DAB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B04CB"/>
    <w:rsid w:val="00CB25A5"/>
    <w:rsid w:val="00CB3729"/>
    <w:rsid w:val="00CB6523"/>
    <w:rsid w:val="00CC065C"/>
    <w:rsid w:val="00CC223E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27C27"/>
    <w:rsid w:val="00D34B26"/>
    <w:rsid w:val="00D34D5C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1301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8320E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915"/>
    <w:rsid w:val="00F12D47"/>
    <w:rsid w:val="00F142F1"/>
    <w:rsid w:val="00F24055"/>
    <w:rsid w:val="00F26D4E"/>
    <w:rsid w:val="00F3571D"/>
    <w:rsid w:val="00F4109F"/>
    <w:rsid w:val="00F44E08"/>
    <w:rsid w:val="00F535E2"/>
    <w:rsid w:val="00F62CA8"/>
    <w:rsid w:val="00F630C6"/>
    <w:rsid w:val="00F63476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273A"/>
    <w:rsid w:val="00FA4AF0"/>
    <w:rsid w:val="00FB0790"/>
    <w:rsid w:val="00FC0FCE"/>
    <w:rsid w:val="00FC176F"/>
    <w:rsid w:val="00FD096F"/>
    <w:rsid w:val="00FD1298"/>
    <w:rsid w:val="00FD26CC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B5573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5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ZilbergI\AppData\Local\Microsoft\Windows\INetCache\Content.Outlook\BOTP9L28\www.ldz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ZilbergI\AppData\Local\Microsoft\Windows\INetCache\Content.Outlook\BOTP9L28\www.ldz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CDA71-B876-4828-9EB6-FDD2C67F1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2023-03-31T12:04:00Z</dcterms:created>
  <dcterms:modified xsi:type="dcterms:W3CDTF">2023-03-31T12:04:00Z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