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9F805" w14:textId="77777777" w:rsidR="00A3283B" w:rsidRPr="00AB3184" w:rsidRDefault="00A3283B" w:rsidP="00A3283B">
      <w:pPr>
        <w:tabs>
          <w:tab w:val="left" w:pos="3760"/>
        </w:tabs>
        <w:ind w:left="-284" w:right="-1044" w:firstLine="4395"/>
        <w:jc w:val="right"/>
        <w:rPr>
          <w:rFonts w:eastAsia="Calibri"/>
          <w:i/>
          <w:szCs w:val="24"/>
          <w:lang w:eastAsia="lv-LV"/>
        </w:rPr>
      </w:pPr>
      <w:bookmarkStart w:id="0" w:name="_GoBack"/>
      <w:bookmarkEnd w:id="0"/>
      <w:r w:rsidRPr="00AB3184">
        <w:rPr>
          <w:rFonts w:eastAsia="Calibri"/>
          <w:i/>
          <w:szCs w:val="24"/>
          <w:lang w:eastAsia="lv-LV"/>
        </w:rPr>
        <w:t>APSTIPRINĀTS:</w:t>
      </w:r>
    </w:p>
    <w:p w14:paraId="72DCCAD4" w14:textId="005A5C36" w:rsidR="00A3283B" w:rsidRPr="008951BD" w:rsidRDefault="00A3283B" w:rsidP="00A3283B">
      <w:pPr>
        <w:tabs>
          <w:tab w:val="left" w:pos="3760"/>
        </w:tabs>
        <w:ind w:right="-1044"/>
        <w:jc w:val="right"/>
        <w:rPr>
          <w:rFonts w:eastAsia="Calibri"/>
          <w:i/>
          <w:szCs w:val="24"/>
          <w:lang w:eastAsia="lv-LV"/>
        </w:rPr>
      </w:pPr>
      <w:r w:rsidRPr="00AB3184">
        <w:rPr>
          <w:rFonts w:eastAsia="Calibri"/>
          <w:i/>
          <w:szCs w:val="24"/>
          <w:lang w:eastAsia="lv-LV"/>
        </w:rPr>
        <w:t xml:space="preserve">ar iepirkuma komisijas </w:t>
      </w:r>
      <w:r w:rsidRPr="00AB3184">
        <w:rPr>
          <w:rFonts w:eastAsia="Arial Unicode MS"/>
          <w:i/>
          <w:szCs w:val="24"/>
          <w:lang w:eastAsia="lv-LV"/>
        </w:rPr>
        <w:t>2021.gada 18.janvāra</w:t>
      </w:r>
      <w:r w:rsidRPr="008951BD">
        <w:rPr>
          <w:rFonts w:eastAsia="Arial Unicode MS"/>
          <w:i/>
          <w:szCs w:val="24"/>
          <w:lang w:eastAsia="lv-LV"/>
        </w:rPr>
        <w:t xml:space="preserve"> </w:t>
      </w:r>
    </w:p>
    <w:p w14:paraId="1B5E2041" w14:textId="2A4AB220" w:rsidR="00A3283B" w:rsidRDefault="00A3283B" w:rsidP="00A3283B">
      <w:pPr>
        <w:ind w:right="-104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9</w:t>
      </w:r>
    </w:p>
    <w:p w14:paraId="0C390A15" w14:textId="33BD6F24" w:rsidR="0098236C" w:rsidRDefault="0098236C">
      <w:pPr>
        <w:rPr>
          <w:rFonts w:ascii="Arial" w:hAnsi="Arial" w:cs="Arial"/>
        </w:rPr>
      </w:pPr>
    </w:p>
    <w:p w14:paraId="24476B5F" w14:textId="77777777" w:rsidR="00A3283B" w:rsidRPr="00681731" w:rsidRDefault="00A3283B" w:rsidP="00A3283B">
      <w:pPr>
        <w:jc w:val="center"/>
        <w:rPr>
          <w:b/>
        </w:rPr>
      </w:pPr>
      <w:r w:rsidRPr="00681731">
        <w:rPr>
          <w:b/>
        </w:rPr>
        <w:t>VAS </w:t>
      </w:r>
      <w:r w:rsidRPr="00681731">
        <w:rPr>
          <w:b/>
          <w:color w:val="222222"/>
        </w:rPr>
        <w:t>„</w:t>
      </w:r>
      <w:r w:rsidRPr="00681731">
        <w:rPr>
          <w:b/>
        </w:rPr>
        <w:t xml:space="preserve">Latvijas dzelzceļš” </w:t>
      </w:r>
    </w:p>
    <w:p w14:paraId="62EECE63" w14:textId="77777777" w:rsidR="00A3283B" w:rsidRPr="00681731" w:rsidRDefault="00A3283B" w:rsidP="00A3283B">
      <w:pPr>
        <w:ind w:left="142" w:right="-1"/>
        <w:jc w:val="center"/>
        <w:rPr>
          <w:b/>
        </w:rPr>
      </w:pPr>
      <w:r w:rsidRPr="00681731">
        <w:rPr>
          <w:b/>
        </w:rPr>
        <w:t>sarunu procedūras ar publikāciju</w:t>
      </w:r>
    </w:p>
    <w:p w14:paraId="7E70929D" w14:textId="77777777" w:rsidR="00A3283B" w:rsidRPr="00E32B79" w:rsidRDefault="00A3283B" w:rsidP="00A3283B">
      <w:pPr>
        <w:jc w:val="center"/>
        <w:rPr>
          <w:b/>
          <w:bCs/>
        </w:rPr>
      </w:pPr>
      <w:r w:rsidRPr="00E32B79">
        <w:rPr>
          <w:b/>
          <w:bCs/>
          <w:color w:val="222222"/>
        </w:rPr>
        <w:t>„</w:t>
      </w:r>
      <w:r w:rsidRPr="00E32B79">
        <w:rPr>
          <w:b/>
          <w:bCs/>
        </w:rPr>
        <w:t xml:space="preserve">Informatīvā zvanu centra pakalpojuma nodrošināšana jautājumos par pasažieru vilcienu kustību un VAS </w:t>
      </w:r>
      <w:r w:rsidRPr="00E32B79">
        <w:rPr>
          <w:b/>
          <w:bCs/>
          <w:color w:val="222222"/>
        </w:rPr>
        <w:t>„</w:t>
      </w:r>
      <w:r w:rsidRPr="00E32B79">
        <w:rPr>
          <w:b/>
          <w:bCs/>
        </w:rPr>
        <w:t>Latvijas dzelzceļš” sniegtajiem pakalpojumiem ”</w:t>
      </w:r>
    </w:p>
    <w:p w14:paraId="3FB58B65" w14:textId="77777777" w:rsidR="00A3283B" w:rsidRPr="003B77BC" w:rsidRDefault="00A3283B" w:rsidP="00A3283B">
      <w:pPr>
        <w:jc w:val="center"/>
        <w:rPr>
          <w:rFonts w:eastAsia="Calibri"/>
        </w:rPr>
      </w:pPr>
      <w:r w:rsidRPr="00803044">
        <w:rPr>
          <w:rFonts w:eastAsia="Calibri"/>
        </w:rPr>
        <w:t>(turpmāk – sarunu procedūra)</w:t>
      </w:r>
    </w:p>
    <w:p w14:paraId="32B16CFF" w14:textId="77777777" w:rsidR="00A3283B" w:rsidRPr="00681731" w:rsidRDefault="00A3283B" w:rsidP="00A3283B">
      <w:pPr>
        <w:ind w:left="284" w:right="282"/>
        <w:rPr>
          <w:rFonts w:eastAsia="Calibri"/>
        </w:rPr>
      </w:pPr>
    </w:p>
    <w:p w14:paraId="5BAF3B2A" w14:textId="77777777" w:rsidR="00A3283B" w:rsidRPr="00681731" w:rsidRDefault="00A3283B" w:rsidP="00A3283B">
      <w:pPr>
        <w:ind w:left="284" w:right="282"/>
        <w:jc w:val="center"/>
        <w:rPr>
          <w:rFonts w:eastAsia="Calibri"/>
          <w:b/>
        </w:rPr>
      </w:pPr>
      <w:r w:rsidRPr="00681731">
        <w:rPr>
          <w:rFonts w:eastAsia="Calibri"/>
          <w:b/>
        </w:rPr>
        <w:t>Skaidrojums Nr.</w:t>
      </w:r>
      <w:r>
        <w:rPr>
          <w:rFonts w:eastAsia="Calibri"/>
          <w:b/>
        </w:rPr>
        <w:t>1</w:t>
      </w:r>
    </w:p>
    <w:p w14:paraId="6C7DB3DD" w14:textId="77777777" w:rsidR="00A3283B" w:rsidRPr="00291EAB" w:rsidRDefault="00A3283B" w:rsidP="00A3283B">
      <w:pPr>
        <w:ind w:left="284" w:right="282"/>
        <w:jc w:val="center"/>
        <w:rPr>
          <w:rFonts w:eastAsia="Calibri"/>
          <w:b/>
          <w:highlight w:val="yellow"/>
        </w:rPr>
      </w:pPr>
    </w:p>
    <w:p w14:paraId="2D6A1DEC" w14:textId="77777777" w:rsidR="00A3283B" w:rsidRPr="00291EAB" w:rsidRDefault="00A3283B" w:rsidP="00A3283B">
      <w:pPr>
        <w:ind w:left="284" w:right="282"/>
        <w:jc w:val="center"/>
        <w:rPr>
          <w:rFonts w:eastAsia="Calibri"/>
          <w:b/>
          <w:highlight w:val="yellow"/>
        </w:rPr>
      </w:pPr>
    </w:p>
    <w:tbl>
      <w:tblPr>
        <w:tblW w:w="101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6"/>
        <w:gridCol w:w="4751"/>
      </w:tblGrid>
      <w:tr w:rsidR="00A3283B" w:rsidRPr="006C6AAF" w14:paraId="1107BEEB" w14:textId="77777777" w:rsidTr="00A3283B">
        <w:trPr>
          <w:trHeight w:val="582"/>
        </w:trPr>
        <w:tc>
          <w:tcPr>
            <w:tcW w:w="851" w:type="dxa"/>
            <w:shd w:val="clear" w:color="auto" w:fill="FFF2CC"/>
            <w:vAlign w:val="center"/>
          </w:tcPr>
          <w:p w14:paraId="5B0AAB4B" w14:textId="77777777" w:rsidR="00A3283B" w:rsidRPr="006C6AAF" w:rsidRDefault="00A3283B" w:rsidP="00122943">
            <w:pPr>
              <w:jc w:val="center"/>
              <w:rPr>
                <w:rFonts w:eastAsia="Calibri"/>
                <w:b/>
              </w:rPr>
            </w:pPr>
            <w:r w:rsidRPr="006C6AAF">
              <w:rPr>
                <w:rFonts w:eastAsia="Calibri"/>
                <w:b/>
              </w:rPr>
              <w:t>Nr.</w:t>
            </w:r>
          </w:p>
          <w:p w14:paraId="435A3DCE" w14:textId="77777777" w:rsidR="00A3283B" w:rsidRPr="006C6AAF" w:rsidRDefault="00A3283B" w:rsidP="00122943">
            <w:pPr>
              <w:jc w:val="center"/>
              <w:rPr>
                <w:rFonts w:eastAsia="Calibri"/>
                <w:b/>
              </w:rPr>
            </w:pPr>
            <w:r w:rsidRPr="006C6AAF">
              <w:rPr>
                <w:rFonts w:eastAsia="Calibri"/>
                <w:b/>
              </w:rPr>
              <w:t>p.k.</w:t>
            </w:r>
          </w:p>
        </w:tc>
        <w:tc>
          <w:tcPr>
            <w:tcW w:w="4536" w:type="dxa"/>
            <w:shd w:val="clear" w:color="auto" w:fill="FFF2CC"/>
            <w:vAlign w:val="center"/>
          </w:tcPr>
          <w:p w14:paraId="7801CE57" w14:textId="77777777" w:rsidR="00A3283B" w:rsidRPr="006C6AAF" w:rsidRDefault="00A3283B" w:rsidP="00122943">
            <w:pPr>
              <w:jc w:val="center"/>
              <w:rPr>
                <w:rFonts w:eastAsia="Calibri"/>
                <w:b/>
                <w:i/>
              </w:rPr>
            </w:pPr>
            <w:r w:rsidRPr="006C6AAF">
              <w:rPr>
                <w:rFonts w:eastAsia="Calibri"/>
                <w:b/>
                <w:i/>
              </w:rPr>
              <w:t>Jautājums</w:t>
            </w:r>
          </w:p>
        </w:tc>
        <w:tc>
          <w:tcPr>
            <w:tcW w:w="4751" w:type="dxa"/>
            <w:shd w:val="clear" w:color="auto" w:fill="FFF2CC"/>
            <w:vAlign w:val="center"/>
          </w:tcPr>
          <w:p w14:paraId="7855DCE2" w14:textId="77777777" w:rsidR="00A3283B" w:rsidRPr="006C6AAF" w:rsidRDefault="00A3283B" w:rsidP="00122943">
            <w:pPr>
              <w:jc w:val="center"/>
              <w:rPr>
                <w:rFonts w:eastAsia="Calibri"/>
                <w:b/>
                <w:i/>
                <w:highlight w:val="yellow"/>
              </w:rPr>
            </w:pPr>
            <w:r w:rsidRPr="006C6AAF">
              <w:rPr>
                <w:rFonts w:eastAsia="Calibri"/>
                <w:b/>
                <w:i/>
              </w:rPr>
              <w:t>Atbilde</w:t>
            </w:r>
          </w:p>
        </w:tc>
      </w:tr>
      <w:tr w:rsidR="00A3283B" w:rsidRPr="006C6AAF" w14:paraId="1A9245D5" w14:textId="77777777" w:rsidTr="00A3283B">
        <w:trPr>
          <w:trHeight w:val="2898"/>
        </w:trPr>
        <w:tc>
          <w:tcPr>
            <w:tcW w:w="851" w:type="dxa"/>
            <w:shd w:val="clear" w:color="auto" w:fill="auto"/>
          </w:tcPr>
          <w:p w14:paraId="7133F7BD" w14:textId="77777777" w:rsidR="00A3283B" w:rsidRPr="00C370CA" w:rsidRDefault="00A3283B" w:rsidP="00122943">
            <w:pPr>
              <w:jc w:val="center"/>
              <w:rPr>
                <w:rFonts w:eastAsia="Calibri"/>
              </w:rPr>
            </w:pPr>
            <w:r w:rsidRPr="00C370CA">
              <w:rPr>
                <w:rFonts w:eastAsia="Calibri"/>
              </w:rPr>
              <w:t>1.</w:t>
            </w:r>
          </w:p>
        </w:tc>
        <w:tc>
          <w:tcPr>
            <w:tcW w:w="4536" w:type="dxa"/>
            <w:shd w:val="clear" w:color="auto" w:fill="auto"/>
          </w:tcPr>
          <w:p w14:paraId="71B3FA9A" w14:textId="77777777" w:rsidR="00A3283B" w:rsidRPr="00C370CA" w:rsidRDefault="00A3283B" w:rsidP="00122943">
            <w:pPr>
              <w:rPr>
                <w:sz w:val="22"/>
              </w:rPr>
            </w:pPr>
            <w:r w:rsidRPr="00C370CA">
              <w:t>Vēlētos precizēt sīkāku informāciju par pakalpojuma izpildes vietu.</w:t>
            </w:r>
          </w:p>
          <w:p w14:paraId="20A1EA59" w14:textId="77777777" w:rsidR="00A3283B" w:rsidRPr="00C370CA" w:rsidRDefault="00A3283B" w:rsidP="00122943">
            <w:r w:rsidRPr="00C370CA">
              <w:t>Nolikuma 5. pielikuma 2.2.2. punktā ir norādīts:</w:t>
            </w:r>
          </w:p>
          <w:p w14:paraId="7EA80A4E" w14:textId="77777777" w:rsidR="00A3283B" w:rsidRPr="00C370CA" w:rsidRDefault="00A3283B" w:rsidP="00122943">
            <w:r w:rsidRPr="0038674A">
              <w:rPr>
                <w:color w:val="222222"/>
              </w:rPr>
              <w:t>„</w:t>
            </w:r>
            <w:r w:rsidRPr="00C370CA">
              <w:t xml:space="preserve">Operators atbild par Pakalpojuma pieslēgšanas nodrošināšanu vienā no Pasūtītāja noradītajiem </w:t>
            </w:r>
            <w:proofErr w:type="spellStart"/>
            <w:r w:rsidRPr="00C370CA">
              <w:t>pieslēguma</w:t>
            </w:r>
            <w:proofErr w:type="spellEnd"/>
            <w:r w:rsidRPr="00C370CA">
              <w:t xml:space="preserve"> punktiem: Rīgā, Gogoļa ielā 3 (LDZ telpa, 239.kab.); Rīgā, Zaķusalas krastmalā 1 (VAS „Latvijas valsts radio un televīzijas centrs” TV tornis, optiskais kross); Rīgā, Pērses ielā 2 (LDZ telpa, LDZ skapis). Operators </w:t>
            </w:r>
            <w:proofErr w:type="spellStart"/>
            <w:r w:rsidRPr="00C370CA">
              <w:t>pieslēguma</w:t>
            </w:r>
            <w:proofErr w:type="spellEnd"/>
            <w:r w:rsidRPr="00C370CA">
              <w:t xml:space="preserve"> punkta vietā (izņemot Rīgā, Gogoļa ielā 3) pats nodrošina pieslēgumu no LDZ kabeļa (skapja) līdz savai </w:t>
            </w:r>
            <w:proofErr w:type="spellStart"/>
            <w:r w:rsidRPr="00C370CA">
              <w:t>pieslēguma</w:t>
            </w:r>
            <w:proofErr w:type="spellEnd"/>
            <w:r w:rsidRPr="00C370CA">
              <w:t xml:space="preserve"> vietai. </w:t>
            </w:r>
            <w:proofErr w:type="spellStart"/>
            <w:r w:rsidRPr="00C370CA">
              <w:t>Pieslēguma</w:t>
            </w:r>
            <w:proofErr w:type="spellEnd"/>
            <w:r w:rsidRPr="00C370CA">
              <w:t xml:space="preserve"> organizēšanas veids: SIP (</w:t>
            </w:r>
            <w:proofErr w:type="spellStart"/>
            <w:r w:rsidRPr="00C370CA">
              <w:rPr>
                <w:i/>
                <w:iCs/>
                <w:color w:val="000000"/>
              </w:rPr>
              <w:t>Session</w:t>
            </w:r>
            <w:proofErr w:type="spellEnd"/>
            <w:r w:rsidRPr="00C370CA">
              <w:rPr>
                <w:i/>
                <w:iCs/>
                <w:color w:val="000000"/>
              </w:rPr>
              <w:t xml:space="preserve"> </w:t>
            </w:r>
            <w:proofErr w:type="spellStart"/>
            <w:r w:rsidRPr="00C370CA">
              <w:rPr>
                <w:i/>
                <w:iCs/>
                <w:color w:val="000000"/>
              </w:rPr>
              <w:t>Initiation</w:t>
            </w:r>
            <w:proofErr w:type="spellEnd"/>
            <w:r w:rsidRPr="00C370CA">
              <w:rPr>
                <w:i/>
                <w:iCs/>
                <w:color w:val="000000"/>
              </w:rPr>
              <w:t xml:space="preserve"> </w:t>
            </w:r>
            <w:proofErr w:type="spellStart"/>
            <w:r w:rsidRPr="00C370CA">
              <w:rPr>
                <w:i/>
                <w:iCs/>
                <w:color w:val="000000"/>
              </w:rPr>
              <w:t>Protocol</w:t>
            </w:r>
            <w:proofErr w:type="spellEnd"/>
            <w:r w:rsidRPr="00C370CA">
              <w:rPr>
                <w:color w:val="000000"/>
              </w:rPr>
              <w:t>)</w:t>
            </w:r>
            <w:r w:rsidRPr="00C370CA">
              <w:t xml:space="preserve"> protokols, izmantojot tiešo optiskā kabeļa savienojumu starp Operatoru un Pasūtītāja aparatūru, neizmantojot interneta vidi</w:t>
            </w:r>
            <w:r>
              <w:t>”</w:t>
            </w:r>
            <w:r w:rsidRPr="00C370CA">
              <w:t>.</w:t>
            </w:r>
          </w:p>
          <w:p w14:paraId="0FA05876" w14:textId="77777777" w:rsidR="00A3283B" w:rsidRPr="00C370CA" w:rsidRDefault="00A3283B" w:rsidP="00122943">
            <w:r w:rsidRPr="00C370CA">
              <w:t>Vai tas nozīmē, ka izpildes vietai ir jābūt tikai kādā no šīm 2 adresēm, vai tiek pieļauts, ka pakalpojuma izpilde notiek citā vietā Rīgā vai pat citā pilsētā Latvijas teritorijā?</w:t>
            </w:r>
          </w:p>
        </w:tc>
        <w:tc>
          <w:tcPr>
            <w:tcW w:w="4751" w:type="dxa"/>
            <w:shd w:val="clear" w:color="auto" w:fill="auto"/>
          </w:tcPr>
          <w:p w14:paraId="156E5FBE" w14:textId="77777777" w:rsidR="00A3283B" w:rsidRPr="00A82A22" w:rsidRDefault="00A3283B" w:rsidP="00122943">
            <w:pPr>
              <w:rPr>
                <w:rFonts w:eastAsia="Times New Roman"/>
              </w:rPr>
            </w:pPr>
            <w:r w:rsidRPr="006F2D90">
              <w:t>Skaidrojam, ka sarunu procedūras nolikum</w:t>
            </w:r>
            <w:r>
              <w:t>a 3.pielikuma 9.3.punktā un 5.pielikuma 2.2.2.punktā</w:t>
            </w:r>
            <w:r w:rsidRPr="006F2D90">
              <w:t xml:space="preserve"> ir noteiktas trīs pakalpojuma izpildes vietas adreses jeb </w:t>
            </w:r>
            <w:proofErr w:type="spellStart"/>
            <w:r w:rsidRPr="006F2D90">
              <w:t>pieslēguma</w:t>
            </w:r>
            <w:proofErr w:type="spellEnd"/>
            <w:r w:rsidRPr="006F2D90">
              <w:t xml:space="preserve"> punkti, kurās </w:t>
            </w:r>
            <w:r>
              <w:t xml:space="preserve">operatoram un pasūtītājam būs  nepieciešams savienot savus tīklus, lai </w:t>
            </w:r>
            <w:r w:rsidRPr="006F2D90">
              <w:t>nodrošin</w:t>
            </w:r>
            <w:r>
              <w:t>ātu</w:t>
            </w:r>
            <w:r w:rsidRPr="006F2D90">
              <w:t xml:space="preserve"> sarunu procedūras priekšmetā minētā pakalpojuma p</w:t>
            </w:r>
            <w:r w:rsidRPr="006F2D90">
              <w:rPr>
                <w:rFonts w:eastAsia="Times New Roman"/>
              </w:rPr>
              <w:t>ieslēgum</w:t>
            </w:r>
            <w:r>
              <w:rPr>
                <w:rFonts w:eastAsia="Times New Roman"/>
              </w:rPr>
              <w:t>u</w:t>
            </w:r>
            <w:r w:rsidRPr="006F2D90">
              <w:rPr>
                <w:rFonts w:eastAsia="Times New Roman"/>
              </w:rPr>
              <w:t xml:space="preserve"> </w:t>
            </w:r>
            <w:r w:rsidRPr="00A82A22">
              <w:rPr>
                <w:rFonts w:eastAsia="Times New Roman"/>
              </w:rPr>
              <w:t>pasūtītāja tīklam, proti:</w:t>
            </w:r>
          </w:p>
          <w:p w14:paraId="465BAA54" w14:textId="77777777" w:rsidR="00A3283B" w:rsidRPr="00A82A22" w:rsidRDefault="00A3283B" w:rsidP="00A3283B">
            <w:pPr>
              <w:pStyle w:val="Sarakstarindkopa"/>
              <w:numPr>
                <w:ilvl w:val="0"/>
                <w:numId w:val="1"/>
              </w:numPr>
              <w:ind w:left="0" w:firstLine="460"/>
              <w:jc w:val="both"/>
              <w:rPr>
                <w:rFonts w:eastAsia="Times New Roman"/>
                <w:sz w:val="24"/>
                <w:szCs w:val="24"/>
                <w:lang w:eastAsia="en-US"/>
              </w:rPr>
            </w:pPr>
            <w:r w:rsidRPr="00A82A22">
              <w:rPr>
                <w:sz w:val="24"/>
                <w:szCs w:val="24"/>
              </w:rPr>
              <w:t xml:space="preserve">Rīgā, Gogoļa ielā 3 (LDZ telpa, 239.kab.); </w:t>
            </w:r>
          </w:p>
          <w:p w14:paraId="45A23C18" w14:textId="77777777" w:rsidR="00A3283B" w:rsidRPr="00A82A22" w:rsidRDefault="00A3283B" w:rsidP="00A3283B">
            <w:pPr>
              <w:pStyle w:val="Sarakstarindkopa"/>
              <w:numPr>
                <w:ilvl w:val="0"/>
                <w:numId w:val="1"/>
              </w:numPr>
              <w:ind w:left="0" w:firstLine="460"/>
              <w:jc w:val="both"/>
              <w:rPr>
                <w:rFonts w:eastAsia="Times New Roman"/>
                <w:sz w:val="24"/>
                <w:szCs w:val="24"/>
                <w:lang w:eastAsia="en-US"/>
              </w:rPr>
            </w:pPr>
            <w:r w:rsidRPr="00A82A22">
              <w:rPr>
                <w:sz w:val="24"/>
                <w:szCs w:val="24"/>
              </w:rPr>
              <w:t xml:space="preserve">Rīgā, Zaķusalas krastmalā 1 (VAS „Latvijas valsts radio un televīzijas centrs” TV tornis, optiskais kross); </w:t>
            </w:r>
          </w:p>
          <w:p w14:paraId="7BE84DEA" w14:textId="77777777" w:rsidR="00A3283B" w:rsidRPr="006F5D55" w:rsidRDefault="00A3283B" w:rsidP="00A3283B">
            <w:pPr>
              <w:pStyle w:val="Sarakstarindkopa"/>
              <w:numPr>
                <w:ilvl w:val="0"/>
                <w:numId w:val="1"/>
              </w:numPr>
              <w:ind w:left="0" w:firstLine="460"/>
              <w:jc w:val="both"/>
              <w:rPr>
                <w:rFonts w:eastAsia="Times New Roman"/>
                <w:sz w:val="24"/>
                <w:szCs w:val="24"/>
                <w:lang w:eastAsia="en-US"/>
              </w:rPr>
            </w:pPr>
            <w:r w:rsidRPr="00A82A22">
              <w:rPr>
                <w:sz w:val="24"/>
                <w:szCs w:val="24"/>
              </w:rPr>
              <w:t>Rīgā, Pērses ielā 2 (LDZ telpa, LDZ skapis).</w:t>
            </w:r>
          </w:p>
          <w:p w14:paraId="1A020B1D" w14:textId="77777777" w:rsidR="00A3283B" w:rsidRPr="006F5D55" w:rsidRDefault="00A3283B" w:rsidP="00122943">
            <w:pPr>
              <w:spacing w:line="252" w:lineRule="auto"/>
              <w:ind w:right="-58"/>
              <w:contextualSpacing/>
            </w:pPr>
            <w:r>
              <w:t xml:space="preserve">Tīklu savienošanu būs nepieciešams veikt </w:t>
            </w:r>
            <w:r w:rsidRPr="00617BEA">
              <w:rPr>
                <w:u w:val="single"/>
              </w:rPr>
              <w:t>tikai  1 (vienā) no minētajām vietām.</w:t>
            </w:r>
            <w:r>
              <w:t xml:space="preserve">  Citas vietu adreses, kuras nav noradītas sarunu procedūras nolikumā netiek pieļautas.</w:t>
            </w:r>
          </w:p>
          <w:p w14:paraId="5B7109D0" w14:textId="77777777" w:rsidR="00A3283B" w:rsidRPr="006F5D55" w:rsidRDefault="00A3283B" w:rsidP="00122943">
            <w:pPr>
              <w:rPr>
                <w:rFonts w:eastAsia="Times New Roman"/>
              </w:rPr>
            </w:pPr>
            <w:r w:rsidRPr="00A82A22">
              <w:t xml:space="preserve">Vienlaikus norādām, ka gadījumā, ja pretendents </w:t>
            </w:r>
            <w:r w:rsidRPr="00A82A22">
              <w:rPr>
                <w:rFonts w:eastAsia="Times New Roman"/>
              </w:rPr>
              <w:t xml:space="preserve">spēj izpildīt sarunu procedūras nolikumā noteiktās tehniskās prasības </w:t>
            </w:r>
            <w:r>
              <w:rPr>
                <w:rFonts w:eastAsia="Times New Roman"/>
              </w:rPr>
              <w:t xml:space="preserve">un nodrošināt pakalpojuma </w:t>
            </w:r>
            <w:proofErr w:type="spellStart"/>
            <w:r w:rsidRPr="00A82A22">
              <w:rPr>
                <w:rFonts w:eastAsia="Times New Roman"/>
              </w:rPr>
              <w:t>pieslēguma</w:t>
            </w:r>
            <w:proofErr w:type="spellEnd"/>
            <w:r w:rsidRPr="00A82A22">
              <w:rPr>
                <w:rFonts w:eastAsia="Times New Roman"/>
              </w:rPr>
              <w:t xml:space="preserve"> tīkla savienojumu līdz savam zvanu centram (izmantojot savus vai īrētus resursus), pasūtītājam nav būtiski, kur lokāli </w:t>
            </w:r>
            <w:r>
              <w:rPr>
                <w:rFonts w:eastAsia="Times New Roman"/>
              </w:rPr>
              <w:t xml:space="preserve">atrodas </w:t>
            </w:r>
            <w:r w:rsidRPr="00A82A22">
              <w:rPr>
                <w:rFonts w:eastAsia="Times New Roman"/>
              </w:rPr>
              <w:t>attiecīgais</w:t>
            </w:r>
            <w:r>
              <w:rPr>
                <w:rFonts w:eastAsia="Times New Roman"/>
              </w:rPr>
              <w:t xml:space="preserve"> operatora</w:t>
            </w:r>
            <w:r w:rsidRPr="00A82A22">
              <w:rPr>
                <w:rFonts w:eastAsia="Times New Roman"/>
              </w:rPr>
              <w:t xml:space="preserve"> zvanu ce</w:t>
            </w:r>
            <w:r>
              <w:rPr>
                <w:rFonts w:eastAsia="Times New Roman"/>
              </w:rPr>
              <w:t>ntrs, proti, operatora zvanu apkalpošanas centra fiziskā atrašanās vietas adrese.</w:t>
            </w:r>
          </w:p>
        </w:tc>
      </w:tr>
      <w:tr w:rsidR="00A3283B" w:rsidRPr="006C6AAF" w14:paraId="0368A50D" w14:textId="77777777" w:rsidTr="00A3283B">
        <w:trPr>
          <w:trHeight w:val="1703"/>
        </w:trPr>
        <w:tc>
          <w:tcPr>
            <w:tcW w:w="851" w:type="dxa"/>
            <w:shd w:val="clear" w:color="auto" w:fill="auto"/>
          </w:tcPr>
          <w:p w14:paraId="788DCAFA" w14:textId="77777777" w:rsidR="00A3283B" w:rsidRPr="00C370CA" w:rsidRDefault="00A3283B" w:rsidP="00122943">
            <w:pPr>
              <w:jc w:val="center"/>
              <w:rPr>
                <w:rFonts w:eastAsia="Calibri"/>
              </w:rPr>
            </w:pPr>
            <w:r w:rsidRPr="00C370CA">
              <w:rPr>
                <w:rFonts w:eastAsia="Calibri"/>
              </w:rPr>
              <w:lastRenderedPageBreak/>
              <w:t>2.</w:t>
            </w:r>
          </w:p>
        </w:tc>
        <w:tc>
          <w:tcPr>
            <w:tcW w:w="4536" w:type="dxa"/>
            <w:shd w:val="clear" w:color="auto" w:fill="auto"/>
          </w:tcPr>
          <w:p w14:paraId="72B0C769" w14:textId="77777777" w:rsidR="00A3283B" w:rsidRPr="00C370CA" w:rsidRDefault="00A3283B" w:rsidP="00122943">
            <w:pPr>
              <w:rPr>
                <w:sz w:val="22"/>
              </w:rPr>
            </w:pPr>
            <w:r w:rsidRPr="00C370CA">
              <w:t>Vēlamies precizēt, kāds ir aptuvenais ienākošo un izejošo zvanu minūšu skaits mēnesī. Spriežot pēc 3.pielikuma 6.</w:t>
            </w:r>
            <w:r>
              <w:t>p</w:t>
            </w:r>
            <w:r w:rsidRPr="00C370CA">
              <w:t>unkta (6 mēneši līdzvērtīgi 2000 h), minam, ka tas varētu būt ap 10 000 minūšu mēnesī, vai šis minējums ir pareizs?</w:t>
            </w:r>
          </w:p>
        </w:tc>
        <w:tc>
          <w:tcPr>
            <w:tcW w:w="4751" w:type="dxa"/>
            <w:shd w:val="clear" w:color="auto" w:fill="auto"/>
          </w:tcPr>
          <w:p w14:paraId="02DF0B3F" w14:textId="77777777" w:rsidR="00A3283B" w:rsidRPr="00B15B8B" w:rsidRDefault="00A3283B" w:rsidP="00122943">
            <w:r w:rsidRPr="00B15B8B">
              <w:t xml:space="preserve">Skaidrojam, ka sarunu procedūras priekšmetā minētais pakalpojums nesatur izejošos zvanus. Izejošos zvanus jāveic </w:t>
            </w:r>
            <w:r w:rsidRPr="00530A34">
              <w:rPr>
                <w:u w:val="single"/>
              </w:rPr>
              <w:t xml:space="preserve">tikai </w:t>
            </w:r>
            <w:r w:rsidRPr="00530A34">
              <w:rPr>
                <w:i/>
                <w:iCs/>
                <w:u w:val="single"/>
              </w:rPr>
              <w:t>nepieciešamības un ārkārtas gadījumā</w:t>
            </w:r>
            <w:r w:rsidRPr="00B15B8B">
              <w:t xml:space="preserve"> (šādi gadījumi ir operatora vainas dēļ – piemēram, operators kļūdījās informācijas sniegšanā, saprot to un uzreiz piefiksē, atzvana klientam). Tāpēc, šādu statistiku nav iespējams ne prognozēt, ne arī sniegt. </w:t>
            </w:r>
          </w:p>
          <w:p w14:paraId="41BF2C5B" w14:textId="77777777" w:rsidR="00A3283B" w:rsidRPr="00B15B8B" w:rsidRDefault="00A3283B" w:rsidP="00122943">
            <w:r w:rsidRPr="00B15B8B">
              <w:t xml:space="preserve">Vienlaikus informējam, ka saistībā ar Covid-19 vīrusa situāciju ir ievērojams zvanu kritums. Piemēram, šobrīd ir slēgti starptautiskie pasažieru pārvadājumi, kas veido ievērojamu daļu no apkalpotajiem zvaniem. 2020.gadā vidējais rādītājs mēnesī bija 6268 minūtes (marta mēnesī rādītājs bija sasniedzis  9027 minūtes (kopā ar starptautiskajiem pasažieru pārvadājumiem)). </w:t>
            </w:r>
          </w:p>
          <w:p w14:paraId="5E1568F0" w14:textId="77777777" w:rsidR="00A3283B" w:rsidRPr="00B15B8B" w:rsidRDefault="00A3283B" w:rsidP="00122943">
            <w:r w:rsidRPr="00B15B8B">
              <w:t xml:space="preserve">2019.gadā vidējais rādītājs bija līdz 9 tūkst. minūtēm mēnesī (vasaras periodā 9000 – 11600 minūtes). Kopumā statistikas rādītājs svārstās no 7 tūkst. – 10 tūkst. minūtēm mēnesī, ievērojot neparedzētos apstākļus, kā arī apstākli, ka vasaras periodā zvanu ir vairāk, kas arī ietekmē vidējo minūšu statistisko rādītāju. </w:t>
            </w:r>
          </w:p>
          <w:p w14:paraId="7667B3C6" w14:textId="77777777" w:rsidR="00A3283B" w:rsidRPr="00B15B8B" w:rsidRDefault="00A3283B" w:rsidP="00122943">
            <w:r w:rsidRPr="00B15B8B">
              <w:t>Norādām, ka sarunu procedūras priekšmetā minētā pakalpojuma ieviešanas stadijā pasūtītājs sniegs savu prognozi par iespējamo zvanu skaitu, plānojot tālāko</w:t>
            </w:r>
            <w:r>
              <w:t xml:space="preserve"> sadarbību par</w:t>
            </w:r>
            <w:r w:rsidRPr="00B15B8B">
              <w:t xml:space="preserve"> </w:t>
            </w:r>
            <w:r>
              <w:t>pakalpojuma izpildes nodrošināšan</w:t>
            </w:r>
            <w:r w:rsidRPr="00B15B8B">
              <w:t>u</w:t>
            </w:r>
            <w:r>
              <w:t xml:space="preserve"> </w:t>
            </w:r>
            <w:r w:rsidRPr="00B15B8B">
              <w:t xml:space="preserve">ar konkrēto sarunu procedūras uzvarētāju. </w:t>
            </w:r>
          </w:p>
        </w:tc>
      </w:tr>
      <w:tr w:rsidR="00A3283B" w:rsidRPr="006C6AAF" w14:paraId="277A7871" w14:textId="77777777" w:rsidTr="00A3283B">
        <w:trPr>
          <w:trHeight w:val="328"/>
        </w:trPr>
        <w:tc>
          <w:tcPr>
            <w:tcW w:w="851" w:type="dxa"/>
            <w:shd w:val="clear" w:color="auto" w:fill="auto"/>
          </w:tcPr>
          <w:p w14:paraId="60908969" w14:textId="77777777" w:rsidR="00A3283B" w:rsidRPr="00C370CA" w:rsidRDefault="00A3283B" w:rsidP="00122943">
            <w:pPr>
              <w:jc w:val="center"/>
              <w:rPr>
                <w:rFonts w:eastAsia="Calibri"/>
              </w:rPr>
            </w:pPr>
            <w:r>
              <w:rPr>
                <w:rFonts w:eastAsia="Calibri"/>
              </w:rPr>
              <w:t>3.</w:t>
            </w:r>
          </w:p>
        </w:tc>
        <w:tc>
          <w:tcPr>
            <w:tcW w:w="4536" w:type="dxa"/>
            <w:shd w:val="clear" w:color="auto" w:fill="auto"/>
          </w:tcPr>
          <w:p w14:paraId="23F468FF" w14:textId="77777777" w:rsidR="00A3283B" w:rsidRPr="006D2A6A" w:rsidRDefault="00A3283B" w:rsidP="00122943">
            <w:pPr>
              <w:shd w:val="clear" w:color="auto" w:fill="FFFFFF"/>
              <w:spacing w:line="235" w:lineRule="atLeast"/>
              <w:rPr>
                <w:color w:val="222222"/>
              </w:rPr>
            </w:pPr>
            <w:r w:rsidRPr="00EE3507">
              <w:rPr>
                <w:color w:val="222222"/>
              </w:rPr>
              <w:t>Kāds ir paredzētais apkalpojamais zvanu skaits mēnesī?</w:t>
            </w:r>
          </w:p>
        </w:tc>
        <w:tc>
          <w:tcPr>
            <w:tcW w:w="4751" w:type="dxa"/>
            <w:shd w:val="clear" w:color="auto" w:fill="auto"/>
          </w:tcPr>
          <w:p w14:paraId="726CCF08" w14:textId="77777777" w:rsidR="00A3283B" w:rsidRPr="000F1C2D" w:rsidRDefault="00A3283B" w:rsidP="00122943">
            <w:pPr>
              <w:spacing w:line="252" w:lineRule="auto"/>
            </w:pPr>
            <w:r>
              <w:t>N</w:t>
            </w:r>
            <w:r w:rsidRPr="000F1C2D">
              <w:t xml:space="preserve">orādām, ka 2020.gadā vidējais rādītājs mēnesī bija 3606 zvani. 2019.gadā vidējais rādītājs bija 5078  zvani. Vasaras periodā zvanu ir vairāk – virs 6 tūkst. mēnesī. Objektīvi jāsalīdzina gan 2019.gada statistikas rādītājus gan 2020.gada tendences. Secināms, ka ziemas periodā zvanu skaits samazinās, savukārt, vasaras periodā zvanu skaits ir lielāks. Kopumā statistikas rādītājs svārstās no -  ap 4 tūkst. un līdz 6 tūkst. zvanu mēnesī, ievērojot neparedzētos apstākļus, kā arī apstākli, ka vasaras periodā zvanu ir vairāk. </w:t>
            </w:r>
          </w:p>
          <w:p w14:paraId="534F6249" w14:textId="77777777" w:rsidR="00A3283B" w:rsidRPr="00A50B54" w:rsidRDefault="00A3283B" w:rsidP="00122943">
            <w:pPr>
              <w:rPr>
                <w:highlight w:val="yellow"/>
              </w:rPr>
            </w:pPr>
            <w:r w:rsidRPr="000F1C2D">
              <w:t>Papildus lūdzam skatīt arī atbildi uz 2. un 4.jautājumu.</w:t>
            </w:r>
          </w:p>
        </w:tc>
      </w:tr>
      <w:tr w:rsidR="00A3283B" w:rsidRPr="006C6AAF" w14:paraId="17A965F0" w14:textId="77777777" w:rsidTr="00A3283B">
        <w:trPr>
          <w:trHeight w:val="756"/>
        </w:trPr>
        <w:tc>
          <w:tcPr>
            <w:tcW w:w="851" w:type="dxa"/>
            <w:shd w:val="clear" w:color="auto" w:fill="auto"/>
          </w:tcPr>
          <w:p w14:paraId="206B4C70" w14:textId="77777777" w:rsidR="00A3283B" w:rsidRPr="00C370CA" w:rsidRDefault="00A3283B" w:rsidP="00122943">
            <w:pPr>
              <w:jc w:val="center"/>
              <w:rPr>
                <w:rFonts w:eastAsia="Calibri"/>
              </w:rPr>
            </w:pPr>
            <w:r>
              <w:rPr>
                <w:rFonts w:eastAsia="Calibri"/>
              </w:rPr>
              <w:t>4.</w:t>
            </w:r>
          </w:p>
        </w:tc>
        <w:tc>
          <w:tcPr>
            <w:tcW w:w="4536" w:type="dxa"/>
            <w:shd w:val="clear" w:color="auto" w:fill="auto"/>
          </w:tcPr>
          <w:p w14:paraId="4F601FCE" w14:textId="77777777" w:rsidR="00A3283B" w:rsidRPr="00EE3507" w:rsidRDefault="00A3283B" w:rsidP="00122943">
            <w:r w:rsidRPr="00EE3507">
              <w:rPr>
                <w:color w:val="222222"/>
              </w:rPr>
              <w:t>Lūdzu sniegt informāciju par iepriekšējo divu gadu laikā apkalpoto zvanu skaitu (ikmēneša zvanu skaits)?</w:t>
            </w:r>
          </w:p>
        </w:tc>
        <w:tc>
          <w:tcPr>
            <w:tcW w:w="4751" w:type="dxa"/>
            <w:shd w:val="clear" w:color="auto" w:fill="auto"/>
          </w:tcPr>
          <w:p w14:paraId="35B107BD" w14:textId="77777777" w:rsidR="00A3283B" w:rsidRPr="000F1C2D" w:rsidRDefault="00A3283B" w:rsidP="00122943">
            <w:r w:rsidRPr="000F1C2D">
              <w:t>Sniedzam detalizētāku apkalpoto zvanu skaita statistiku par iepriekšējiem 2 (diviem) gadiem:</w:t>
            </w:r>
          </w:p>
          <w:tbl>
            <w:tblPr>
              <w:tblpPr w:leftFromText="180" w:rightFromText="180" w:bottomFromText="115" w:vertAnchor="text"/>
              <w:tblW w:w="4304" w:type="dxa"/>
              <w:tblCellMar>
                <w:left w:w="0" w:type="dxa"/>
                <w:right w:w="0" w:type="dxa"/>
              </w:tblCellMar>
              <w:tblLook w:val="04A0" w:firstRow="1" w:lastRow="0" w:firstColumn="1" w:lastColumn="0" w:noHBand="0" w:noVBand="1"/>
            </w:tblPr>
            <w:tblGrid>
              <w:gridCol w:w="1439"/>
              <w:gridCol w:w="1425"/>
              <w:gridCol w:w="16"/>
              <w:gridCol w:w="1425"/>
            </w:tblGrid>
            <w:tr w:rsidR="00A3283B" w:rsidRPr="000F1C2D" w14:paraId="0FEE141B" w14:textId="77777777" w:rsidTr="00A3283B">
              <w:trPr>
                <w:trHeight w:val="226"/>
              </w:trPr>
              <w:tc>
                <w:tcPr>
                  <w:tcW w:w="1439"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82B8B2" w14:textId="77777777" w:rsidR="00A3283B" w:rsidRPr="000F1C2D" w:rsidRDefault="00A3283B" w:rsidP="00122943">
                  <w:pPr>
                    <w:rPr>
                      <w:b/>
                      <w:bCs/>
                      <w:color w:val="000000"/>
                    </w:rPr>
                  </w:pPr>
                  <w:r w:rsidRPr="000F1C2D">
                    <w:rPr>
                      <w:b/>
                      <w:bCs/>
                      <w:color w:val="000000"/>
                    </w:rPr>
                    <w:t>Mēnesis</w:t>
                  </w:r>
                </w:p>
              </w:tc>
              <w:tc>
                <w:tcPr>
                  <w:tcW w:w="1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F4791B" w14:textId="77777777" w:rsidR="00A3283B" w:rsidRPr="000F1C2D" w:rsidRDefault="00A3283B" w:rsidP="00122943">
                  <w:pPr>
                    <w:rPr>
                      <w:b/>
                      <w:bCs/>
                      <w:color w:val="000000"/>
                    </w:rPr>
                  </w:pPr>
                  <w:r w:rsidRPr="000F1C2D">
                    <w:rPr>
                      <w:b/>
                      <w:bCs/>
                      <w:color w:val="000000"/>
                    </w:rPr>
                    <w:t>2020.gads</w:t>
                  </w:r>
                </w:p>
              </w:tc>
              <w:tc>
                <w:tcPr>
                  <w:tcW w:w="15" w:type="dxa"/>
                  <w:tcBorders>
                    <w:top w:val="single" w:sz="8" w:space="0" w:color="auto"/>
                    <w:left w:val="nil"/>
                    <w:bottom w:val="single" w:sz="8" w:space="0" w:color="auto"/>
                    <w:right w:val="nil"/>
                  </w:tcBorders>
                </w:tcPr>
                <w:p w14:paraId="45D6BEA0" w14:textId="77777777" w:rsidR="00A3283B" w:rsidRPr="000F1C2D" w:rsidRDefault="00A3283B" w:rsidP="00122943">
                  <w:pPr>
                    <w:rPr>
                      <w:b/>
                      <w:bCs/>
                      <w:color w:val="000000"/>
                    </w:rPr>
                  </w:pPr>
                </w:p>
              </w:tc>
              <w:tc>
                <w:tcPr>
                  <w:tcW w:w="1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A5BD458" w14:textId="77777777" w:rsidR="00A3283B" w:rsidRPr="000F1C2D" w:rsidRDefault="00A3283B" w:rsidP="00122943">
                  <w:pPr>
                    <w:rPr>
                      <w:b/>
                      <w:bCs/>
                      <w:color w:val="000000"/>
                    </w:rPr>
                  </w:pPr>
                  <w:r w:rsidRPr="000F1C2D">
                    <w:rPr>
                      <w:b/>
                      <w:bCs/>
                      <w:color w:val="000000"/>
                    </w:rPr>
                    <w:t>2019.gads</w:t>
                  </w:r>
                </w:p>
              </w:tc>
            </w:tr>
            <w:tr w:rsidR="00A3283B" w:rsidRPr="000F1C2D" w14:paraId="2222B5C9"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860502" w14:textId="77777777" w:rsidR="00A3283B" w:rsidRPr="000F1C2D" w:rsidRDefault="00A3283B" w:rsidP="00122943">
                  <w:pPr>
                    <w:rPr>
                      <w:color w:val="000000"/>
                    </w:rPr>
                  </w:pPr>
                  <w:r w:rsidRPr="000F1C2D">
                    <w:rPr>
                      <w:color w:val="000000"/>
                    </w:rPr>
                    <w:t>janvāris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7AF638" w14:textId="77777777" w:rsidR="00A3283B" w:rsidRPr="000F1C2D" w:rsidRDefault="00A3283B" w:rsidP="00122943">
                  <w:pPr>
                    <w:jc w:val="right"/>
                    <w:rPr>
                      <w:color w:val="000000"/>
                    </w:rPr>
                  </w:pPr>
                  <w:r w:rsidRPr="000F1C2D">
                    <w:rPr>
                      <w:color w:val="000000"/>
                    </w:rPr>
                    <w:t>4046</w:t>
                  </w:r>
                </w:p>
              </w:tc>
              <w:tc>
                <w:tcPr>
                  <w:tcW w:w="15" w:type="dxa"/>
                  <w:tcBorders>
                    <w:top w:val="nil"/>
                    <w:left w:val="nil"/>
                    <w:bottom w:val="single" w:sz="8" w:space="0" w:color="auto"/>
                    <w:right w:val="nil"/>
                  </w:tcBorders>
                </w:tcPr>
                <w:p w14:paraId="4B4489AD"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288B1" w14:textId="77777777" w:rsidR="00A3283B" w:rsidRPr="000F1C2D" w:rsidRDefault="00A3283B" w:rsidP="00122943">
                  <w:pPr>
                    <w:jc w:val="right"/>
                    <w:rPr>
                      <w:color w:val="000000"/>
                    </w:rPr>
                  </w:pPr>
                  <w:r w:rsidRPr="000F1C2D">
                    <w:rPr>
                      <w:color w:val="000000"/>
                    </w:rPr>
                    <w:t>4429</w:t>
                  </w:r>
                </w:p>
              </w:tc>
            </w:tr>
            <w:tr w:rsidR="00A3283B" w:rsidRPr="000F1C2D" w14:paraId="6523A641"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A49E70" w14:textId="77777777" w:rsidR="00A3283B" w:rsidRPr="000F1C2D" w:rsidRDefault="00A3283B" w:rsidP="00122943">
                  <w:pPr>
                    <w:rPr>
                      <w:color w:val="000000"/>
                    </w:rPr>
                  </w:pPr>
                  <w:r w:rsidRPr="000F1C2D">
                    <w:rPr>
                      <w:color w:val="000000"/>
                    </w:rPr>
                    <w:lastRenderedPageBreak/>
                    <w:t>februāris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5EEDED" w14:textId="77777777" w:rsidR="00A3283B" w:rsidRPr="000F1C2D" w:rsidRDefault="00A3283B" w:rsidP="00122943">
                  <w:pPr>
                    <w:jc w:val="right"/>
                    <w:rPr>
                      <w:color w:val="000000"/>
                    </w:rPr>
                  </w:pPr>
                  <w:r w:rsidRPr="000F1C2D">
                    <w:rPr>
                      <w:color w:val="000000"/>
                    </w:rPr>
                    <w:t>3307</w:t>
                  </w:r>
                </w:p>
              </w:tc>
              <w:tc>
                <w:tcPr>
                  <w:tcW w:w="15" w:type="dxa"/>
                  <w:tcBorders>
                    <w:top w:val="nil"/>
                    <w:left w:val="nil"/>
                    <w:bottom w:val="single" w:sz="8" w:space="0" w:color="auto"/>
                    <w:right w:val="nil"/>
                  </w:tcBorders>
                </w:tcPr>
                <w:p w14:paraId="2ADA82A1"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D212B0" w14:textId="77777777" w:rsidR="00A3283B" w:rsidRPr="000F1C2D" w:rsidRDefault="00A3283B" w:rsidP="00122943">
                  <w:pPr>
                    <w:jc w:val="right"/>
                    <w:rPr>
                      <w:color w:val="000000"/>
                    </w:rPr>
                  </w:pPr>
                  <w:r w:rsidRPr="000F1C2D">
                    <w:rPr>
                      <w:color w:val="000000"/>
                    </w:rPr>
                    <w:t>3742</w:t>
                  </w:r>
                </w:p>
              </w:tc>
            </w:tr>
            <w:tr w:rsidR="00A3283B" w:rsidRPr="000F1C2D" w14:paraId="6E1D5F18"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ADEDEC" w14:textId="77777777" w:rsidR="00A3283B" w:rsidRPr="000F1C2D" w:rsidRDefault="00A3283B" w:rsidP="00122943">
                  <w:pPr>
                    <w:rPr>
                      <w:color w:val="000000"/>
                    </w:rPr>
                  </w:pPr>
                  <w:r w:rsidRPr="000F1C2D">
                    <w:rPr>
                      <w:color w:val="000000"/>
                    </w:rPr>
                    <w:t>marts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8D3632" w14:textId="77777777" w:rsidR="00A3283B" w:rsidRPr="000F1C2D" w:rsidRDefault="00A3283B" w:rsidP="00122943">
                  <w:pPr>
                    <w:jc w:val="right"/>
                    <w:rPr>
                      <w:color w:val="000000"/>
                    </w:rPr>
                  </w:pPr>
                  <w:r w:rsidRPr="000F1C2D">
                    <w:rPr>
                      <w:color w:val="000000"/>
                    </w:rPr>
                    <w:t>4465</w:t>
                  </w:r>
                </w:p>
              </w:tc>
              <w:tc>
                <w:tcPr>
                  <w:tcW w:w="15" w:type="dxa"/>
                  <w:tcBorders>
                    <w:top w:val="nil"/>
                    <w:left w:val="nil"/>
                    <w:bottom w:val="single" w:sz="8" w:space="0" w:color="auto"/>
                    <w:right w:val="nil"/>
                  </w:tcBorders>
                </w:tcPr>
                <w:p w14:paraId="5E651698"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20BDC7" w14:textId="77777777" w:rsidR="00A3283B" w:rsidRPr="000F1C2D" w:rsidRDefault="00A3283B" w:rsidP="00122943">
                  <w:pPr>
                    <w:jc w:val="right"/>
                    <w:rPr>
                      <w:color w:val="000000"/>
                    </w:rPr>
                  </w:pPr>
                  <w:r w:rsidRPr="000F1C2D">
                    <w:rPr>
                      <w:color w:val="000000"/>
                    </w:rPr>
                    <w:t>4526</w:t>
                  </w:r>
                </w:p>
              </w:tc>
            </w:tr>
            <w:tr w:rsidR="00A3283B" w:rsidRPr="000F1C2D" w14:paraId="66DB1A00"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D619D2" w14:textId="77777777" w:rsidR="00A3283B" w:rsidRPr="000F1C2D" w:rsidRDefault="00A3283B" w:rsidP="00122943">
                  <w:pPr>
                    <w:rPr>
                      <w:color w:val="000000"/>
                    </w:rPr>
                  </w:pPr>
                  <w:r w:rsidRPr="000F1C2D">
                    <w:rPr>
                      <w:color w:val="000000"/>
                    </w:rPr>
                    <w:t>aprīlis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A9821A" w14:textId="77777777" w:rsidR="00A3283B" w:rsidRPr="000F1C2D" w:rsidRDefault="00A3283B" w:rsidP="00122943">
                  <w:pPr>
                    <w:jc w:val="right"/>
                    <w:rPr>
                      <w:color w:val="000000"/>
                    </w:rPr>
                  </w:pPr>
                  <w:r w:rsidRPr="000F1C2D">
                    <w:rPr>
                      <w:color w:val="000000"/>
                    </w:rPr>
                    <w:t>3595</w:t>
                  </w:r>
                </w:p>
              </w:tc>
              <w:tc>
                <w:tcPr>
                  <w:tcW w:w="15" w:type="dxa"/>
                  <w:tcBorders>
                    <w:top w:val="nil"/>
                    <w:left w:val="nil"/>
                    <w:bottom w:val="single" w:sz="8" w:space="0" w:color="auto"/>
                    <w:right w:val="nil"/>
                  </w:tcBorders>
                </w:tcPr>
                <w:p w14:paraId="60F1002D"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0AB5F" w14:textId="77777777" w:rsidR="00A3283B" w:rsidRPr="000F1C2D" w:rsidRDefault="00A3283B" w:rsidP="00122943">
                  <w:pPr>
                    <w:jc w:val="right"/>
                    <w:rPr>
                      <w:color w:val="000000"/>
                    </w:rPr>
                  </w:pPr>
                  <w:r w:rsidRPr="000F1C2D">
                    <w:rPr>
                      <w:color w:val="000000"/>
                    </w:rPr>
                    <w:t>5354</w:t>
                  </w:r>
                </w:p>
              </w:tc>
            </w:tr>
            <w:tr w:rsidR="00A3283B" w:rsidRPr="000F1C2D" w14:paraId="74D90C79"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815E91" w14:textId="77777777" w:rsidR="00A3283B" w:rsidRPr="000F1C2D" w:rsidRDefault="00A3283B" w:rsidP="00122943">
                  <w:pPr>
                    <w:rPr>
                      <w:color w:val="000000"/>
                    </w:rPr>
                  </w:pPr>
                  <w:r w:rsidRPr="000F1C2D">
                    <w:rPr>
                      <w:color w:val="000000"/>
                    </w:rPr>
                    <w:t>maijs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5E872" w14:textId="77777777" w:rsidR="00A3283B" w:rsidRPr="000F1C2D" w:rsidRDefault="00A3283B" w:rsidP="00122943">
                  <w:pPr>
                    <w:jc w:val="right"/>
                    <w:rPr>
                      <w:color w:val="000000"/>
                    </w:rPr>
                  </w:pPr>
                  <w:r w:rsidRPr="000F1C2D">
                    <w:rPr>
                      <w:color w:val="000000"/>
                    </w:rPr>
                    <w:t>3380</w:t>
                  </w:r>
                </w:p>
              </w:tc>
              <w:tc>
                <w:tcPr>
                  <w:tcW w:w="15" w:type="dxa"/>
                  <w:tcBorders>
                    <w:top w:val="nil"/>
                    <w:left w:val="nil"/>
                    <w:bottom w:val="single" w:sz="8" w:space="0" w:color="auto"/>
                    <w:right w:val="nil"/>
                  </w:tcBorders>
                  <w:shd w:val="clear" w:color="auto" w:fill="FFFF00"/>
                </w:tcPr>
                <w:p w14:paraId="17833C5A"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0AF017E" w14:textId="77777777" w:rsidR="00A3283B" w:rsidRPr="000F1C2D" w:rsidRDefault="00A3283B" w:rsidP="00122943">
                  <w:pPr>
                    <w:jc w:val="right"/>
                    <w:rPr>
                      <w:color w:val="000000"/>
                    </w:rPr>
                  </w:pPr>
                  <w:r w:rsidRPr="000F1C2D">
                    <w:rPr>
                      <w:color w:val="000000"/>
                    </w:rPr>
                    <w:t>6128</w:t>
                  </w:r>
                </w:p>
              </w:tc>
            </w:tr>
            <w:tr w:rsidR="00A3283B" w:rsidRPr="000F1C2D" w14:paraId="3F6ABEF9"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C065A8" w14:textId="77777777" w:rsidR="00A3283B" w:rsidRPr="000F1C2D" w:rsidRDefault="00A3283B" w:rsidP="00122943">
                  <w:pPr>
                    <w:rPr>
                      <w:color w:val="000000"/>
                    </w:rPr>
                  </w:pPr>
                  <w:r w:rsidRPr="000F1C2D">
                    <w:rPr>
                      <w:color w:val="000000"/>
                    </w:rPr>
                    <w:t>jūnijs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08C6DC" w14:textId="77777777" w:rsidR="00A3283B" w:rsidRPr="000F1C2D" w:rsidRDefault="00A3283B" w:rsidP="00122943">
                  <w:pPr>
                    <w:jc w:val="right"/>
                    <w:rPr>
                      <w:color w:val="000000"/>
                    </w:rPr>
                  </w:pPr>
                  <w:r w:rsidRPr="000F1C2D">
                    <w:rPr>
                      <w:color w:val="000000"/>
                    </w:rPr>
                    <w:t>4738</w:t>
                  </w:r>
                </w:p>
              </w:tc>
              <w:tc>
                <w:tcPr>
                  <w:tcW w:w="15" w:type="dxa"/>
                  <w:tcBorders>
                    <w:top w:val="nil"/>
                    <w:left w:val="nil"/>
                    <w:bottom w:val="single" w:sz="8" w:space="0" w:color="auto"/>
                    <w:right w:val="nil"/>
                  </w:tcBorders>
                  <w:shd w:val="clear" w:color="auto" w:fill="FFFF00"/>
                </w:tcPr>
                <w:p w14:paraId="48C19DD1"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46D04819" w14:textId="77777777" w:rsidR="00A3283B" w:rsidRPr="000F1C2D" w:rsidRDefault="00A3283B" w:rsidP="00122943">
                  <w:pPr>
                    <w:jc w:val="right"/>
                    <w:rPr>
                      <w:color w:val="000000"/>
                    </w:rPr>
                  </w:pPr>
                  <w:r w:rsidRPr="000F1C2D">
                    <w:rPr>
                      <w:color w:val="000000"/>
                    </w:rPr>
                    <w:t>6248</w:t>
                  </w:r>
                </w:p>
              </w:tc>
            </w:tr>
            <w:tr w:rsidR="00A3283B" w:rsidRPr="000F1C2D" w14:paraId="19297DD1"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2D32C4" w14:textId="77777777" w:rsidR="00A3283B" w:rsidRPr="000F1C2D" w:rsidRDefault="00A3283B" w:rsidP="00122943">
                  <w:pPr>
                    <w:rPr>
                      <w:color w:val="000000"/>
                    </w:rPr>
                  </w:pPr>
                  <w:r w:rsidRPr="000F1C2D">
                    <w:rPr>
                      <w:color w:val="000000"/>
                    </w:rPr>
                    <w:t>jūlijs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018103" w14:textId="77777777" w:rsidR="00A3283B" w:rsidRPr="000F1C2D" w:rsidRDefault="00A3283B" w:rsidP="00122943">
                  <w:pPr>
                    <w:jc w:val="right"/>
                    <w:rPr>
                      <w:color w:val="000000"/>
                    </w:rPr>
                  </w:pPr>
                  <w:r w:rsidRPr="000F1C2D">
                    <w:rPr>
                      <w:color w:val="000000"/>
                    </w:rPr>
                    <w:t>4252</w:t>
                  </w:r>
                </w:p>
              </w:tc>
              <w:tc>
                <w:tcPr>
                  <w:tcW w:w="15" w:type="dxa"/>
                  <w:tcBorders>
                    <w:top w:val="nil"/>
                    <w:left w:val="nil"/>
                    <w:bottom w:val="single" w:sz="8" w:space="0" w:color="auto"/>
                    <w:right w:val="nil"/>
                  </w:tcBorders>
                  <w:shd w:val="clear" w:color="auto" w:fill="FFFF00"/>
                </w:tcPr>
                <w:p w14:paraId="36BF3B03"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147C3A5" w14:textId="77777777" w:rsidR="00A3283B" w:rsidRPr="000F1C2D" w:rsidRDefault="00A3283B" w:rsidP="00122943">
                  <w:pPr>
                    <w:jc w:val="right"/>
                    <w:rPr>
                      <w:color w:val="000000"/>
                    </w:rPr>
                  </w:pPr>
                  <w:r w:rsidRPr="000F1C2D">
                    <w:rPr>
                      <w:color w:val="000000"/>
                    </w:rPr>
                    <w:t>6294</w:t>
                  </w:r>
                </w:p>
              </w:tc>
            </w:tr>
            <w:tr w:rsidR="00A3283B" w:rsidRPr="000F1C2D" w14:paraId="44851266"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CC6B7A" w14:textId="77777777" w:rsidR="00A3283B" w:rsidRPr="000F1C2D" w:rsidRDefault="00A3283B" w:rsidP="00122943">
                  <w:pPr>
                    <w:rPr>
                      <w:color w:val="000000"/>
                    </w:rPr>
                  </w:pPr>
                  <w:r w:rsidRPr="000F1C2D">
                    <w:rPr>
                      <w:color w:val="000000"/>
                    </w:rPr>
                    <w:t>augusts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441C23" w14:textId="77777777" w:rsidR="00A3283B" w:rsidRPr="000F1C2D" w:rsidRDefault="00A3283B" w:rsidP="00122943">
                  <w:pPr>
                    <w:jc w:val="right"/>
                    <w:rPr>
                      <w:color w:val="000000"/>
                    </w:rPr>
                  </w:pPr>
                  <w:r w:rsidRPr="000F1C2D">
                    <w:rPr>
                      <w:color w:val="000000"/>
                    </w:rPr>
                    <w:t>3884</w:t>
                  </w:r>
                </w:p>
              </w:tc>
              <w:tc>
                <w:tcPr>
                  <w:tcW w:w="15" w:type="dxa"/>
                  <w:tcBorders>
                    <w:top w:val="nil"/>
                    <w:left w:val="nil"/>
                    <w:bottom w:val="single" w:sz="8" w:space="0" w:color="auto"/>
                    <w:right w:val="nil"/>
                  </w:tcBorders>
                </w:tcPr>
                <w:p w14:paraId="57F82502"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0A3B4" w14:textId="77777777" w:rsidR="00A3283B" w:rsidRPr="000F1C2D" w:rsidRDefault="00A3283B" w:rsidP="00122943">
                  <w:pPr>
                    <w:jc w:val="right"/>
                    <w:rPr>
                      <w:color w:val="000000"/>
                    </w:rPr>
                  </w:pPr>
                  <w:r w:rsidRPr="000F1C2D">
                    <w:rPr>
                      <w:color w:val="000000"/>
                    </w:rPr>
                    <w:t>5312</w:t>
                  </w:r>
                </w:p>
              </w:tc>
            </w:tr>
            <w:tr w:rsidR="00A3283B" w:rsidRPr="000F1C2D" w14:paraId="42AE3E6E"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1F9D02" w14:textId="77777777" w:rsidR="00A3283B" w:rsidRPr="000F1C2D" w:rsidRDefault="00A3283B" w:rsidP="00122943">
                  <w:pPr>
                    <w:rPr>
                      <w:color w:val="000000"/>
                    </w:rPr>
                  </w:pPr>
                  <w:r w:rsidRPr="000F1C2D">
                    <w:rPr>
                      <w:color w:val="000000"/>
                    </w:rPr>
                    <w:t>septembris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73A48" w14:textId="77777777" w:rsidR="00A3283B" w:rsidRPr="000F1C2D" w:rsidRDefault="00A3283B" w:rsidP="00122943">
                  <w:pPr>
                    <w:jc w:val="right"/>
                    <w:rPr>
                      <w:color w:val="000000"/>
                    </w:rPr>
                  </w:pPr>
                  <w:r w:rsidRPr="000F1C2D">
                    <w:rPr>
                      <w:color w:val="000000"/>
                    </w:rPr>
                    <w:t>3637</w:t>
                  </w:r>
                </w:p>
              </w:tc>
              <w:tc>
                <w:tcPr>
                  <w:tcW w:w="15" w:type="dxa"/>
                  <w:tcBorders>
                    <w:top w:val="nil"/>
                    <w:left w:val="nil"/>
                    <w:bottom w:val="single" w:sz="8" w:space="0" w:color="auto"/>
                    <w:right w:val="nil"/>
                  </w:tcBorders>
                </w:tcPr>
                <w:p w14:paraId="36E3ACDB"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6B1916" w14:textId="77777777" w:rsidR="00A3283B" w:rsidRPr="000F1C2D" w:rsidRDefault="00A3283B" w:rsidP="00122943">
                  <w:pPr>
                    <w:jc w:val="right"/>
                    <w:rPr>
                      <w:color w:val="000000"/>
                    </w:rPr>
                  </w:pPr>
                  <w:r w:rsidRPr="000F1C2D">
                    <w:rPr>
                      <w:color w:val="000000"/>
                    </w:rPr>
                    <w:t>4723</w:t>
                  </w:r>
                </w:p>
              </w:tc>
            </w:tr>
            <w:tr w:rsidR="00A3283B" w:rsidRPr="000F1C2D" w14:paraId="30CF63B5"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9DC8D8" w14:textId="77777777" w:rsidR="00A3283B" w:rsidRPr="000F1C2D" w:rsidRDefault="00A3283B" w:rsidP="00122943">
                  <w:pPr>
                    <w:rPr>
                      <w:color w:val="000000"/>
                    </w:rPr>
                  </w:pPr>
                  <w:r w:rsidRPr="000F1C2D">
                    <w:rPr>
                      <w:color w:val="000000"/>
                    </w:rPr>
                    <w:t>oktobris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2ED9DE" w14:textId="77777777" w:rsidR="00A3283B" w:rsidRPr="000F1C2D" w:rsidRDefault="00A3283B" w:rsidP="00122943">
                  <w:pPr>
                    <w:jc w:val="right"/>
                    <w:rPr>
                      <w:color w:val="000000"/>
                    </w:rPr>
                  </w:pPr>
                  <w:r w:rsidRPr="000F1C2D">
                    <w:rPr>
                      <w:color w:val="000000"/>
                    </w:rPr>
                    <w:t>3012</w:t>
                  </w:r>
                </w:p>
              </w:tc>
              <w:tc>
                <w:tcPr>
                  <w:tcW w:w="15" w:type="dxa"/>
                  <w:tcBorders>
                    <w:top w:val="nil"/>
                    <w:left w:val="nil"/>
                    <w:bottom w:val="single" w:sz="8" w:space="0" w:color="auto"/>
                    <w:right w:val="nil"/>
                  </w:tcBorders>
                </w:tcPr>
                <w:p w14:paraId="5968D37E"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866B4E" w14:textId="77777777" w:rsidR="00A3283B" w:rsidRPr="000F1C2D" w:rsidRDefault="00A3283B" w:rsidP="00122943">
                  <w:pPr>
                    <w:jc w:val="right"/>
                    <w:rPr>
                      <w:color w:val="000000"/>
                    </w:rPr>
                  </w:pPr>
                  <w:r w:rsidRPr="000F1C2D">
                    <w:rPr>
                      <w:color w:val="000000"/>
                    </w:rPr>
                    <w:t>5439</w:t>
                  </w:r>
                </w:p>
              </w:tc>
            </w:tr>
            <w:tr w:rsidR="00A3283B" w:rsidRPr="000F1C2D" w14:paraId="230A4B7F"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30DE76" w14:textId="77777777" w:rsidR="00A3283B" w:rsidRPr="000F1C2D" w:rsidRDefault="00A3283B" w:rsidP="00122943">
                  <w:pPr>
                    <w:rPr>
                      <w:color w:val="000000"/>
                    </w:rPr>
                  </w:pPr>
                  <w:r w:rsidRPr="000F1C2D">
                    <w:rPr>
                      <w:color w:val="000000"/>
                    </w:rPr>
                    <w:t>novembris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D32830" w14:textId="77777777" w:rsidR="00A3283B" w:rsidRPr="000F1C2D" w:rsidRDefault="00A3283B" w:rsidP="00122943">
                  <w:pPr>
                    <w:jc w:val="right"/>
                    <w:rPr>
                      <w:color w:val="000000"/>
                    </w:rPr>
                  </w:pPr>
                  <w:r w:rsidRPr="000F1C2D">
                    <w:rPr>
                      <w:color w:val="000000"/>
                    </w:rPr>
                    <w:t>2476</w:t>
                  </w:r>
                </w:p>
              </w:tc>
              <w:tc>
                <w:tcPr>
                  <w:tcW w:w="15" w:type="dxa"/>
                  <w:tcBorders>
                    <w:top w:val="nil"/>
                    <w:left w:val="nil"/>
                    <w:bottom w:val="single" w:sz="8" w:space="0" w:color="auto"/>
                    <w:right w:val="nil"/>
                  </w:tcBorders>
                </w:tcPr>
                <w:p w14:paraId="2FB992AE"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3CDD7F" w14:textId="77777777" w:rsidR="00A3283B" w:rsidRPr="000F1C2D" w:rsidRDefault="00A3283B" w:rsidP="00122943">
                  <w:pPr>
                    <w:jc w:val="right"/>
                    <w:rPr>
                      <w:color w:val="000000"/>
                    </w:rPr>
                  </w:pPr>
                  <w:r w:rsidRPr="000F1C2D">
                    <w:rPr>
                      <w:color w:val="000000"/>
                    </w:rPr>
                    <w:t>4194</w:t>
                  </w:r>
                </w:p>
              </w:tc>
            </w:tr>
            <w:tr w:rsidR="00A3283B" w:rsidRPr="000F1C2D" w14:paraId="393F9B37"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F1270" w14:textId="77777777" w:rsidR="00A3283B" w:rsidRPr="000F1C2D" w:rsidRDefault="00A3283B" w:rsidP="00122943">
                  <w:pPr>
                    <w:rPr>
                      <w:color w:val="000000"/>
                    </w:rPr>
                  </w:pPr>
                  <w:r w:rsidRPr="000F1C2D">
                    <w:rPr>
                      <w:color w:val="000000"/>
                    </w:rPr>
                    <w:t>decembris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734195" w14:textId="77777777" w:rsidR="00A3283B" w:rsidRPr="000F1C2D" w:rsidRDefault="00A3283B" w:rsidP="00122943">
                  <w:pPr>
                    <w:jc w:val="right"/>
                    <w:rPr>
                      <w:color w:val="000000"/>
                    </w:rPr>
                  </w:pPr>
                  <w:r w:rsidRPr="000F1C2D">
                    <w:rPr>
                      <w:color w:val="000000"/>
                    </w:rPr>
                    <w:t>2475</w:t>
                  </w:r>
                </w:p>
              </w:tc>
              <w:tc>
                <w:tcPr>
                  <w:tcW w:w="15" w:type="dxa"/>
                  <w:tcBorders>
                    <w:top w:val="nil"/>
                    <w:left w:val="nil"/>
                    <w:bottom w:val="single" w:sz="8" w:space="0" w:color="auto"/>
                    <w:right w:val="nil"/>
                  </w:tcBorders>
                </w:tcPr>
                <w:p w14:paraId="20A7C460"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56925" w14:textId="77777777" w:rsidR="00A3283B" w:rsidRPr="000F1C2D" w:rsidRDefault="00A3283B" w:rsidP="00122943">
                  <w:pPr>
                    <w:jc w:val="right"/>
                    <w:rPr>
                      <w:color w:val="000000"/>
                    </w:rPr>
                  </w:pPr>
                  <w:r w:rsidRPr="000F1C2D">
                    <w:rPr>
                      <w:color w:val="000000"/>
                    </w:rPr>
                    <w:t>4549</w:t>
                  </w:r>
                </w:p>
              </w:tc>
            </w:tr>
            <w:tr w:rsidR="00A3283B" w:rsidRPr="000F1C2D" w14:paraId="35F2EA84" w14:textId="77777777" w:rsidTr="00A3283B">
              <w:trPr>
                <w:trHeight w:val="226"/>
              </w:trPr>
              <w:tc>
                <w:tcPr>
                  <w:tcW w:w="14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326099" w14:textId="77777777" w:rsidR="00A3283B" w:rsidRPr="000F1C2D" w:rsidRDefault="00A3283B" w:rsidP="00122943">
                  <w:pPr>
                    <w:rPr>
                      <w:color w:val="000000"/>
                    </w:rPr>
                  </w:pPr>
                  <w:r w:rsidRPr="000F1C2D">
                    <w:rPr>
                      <w:color w:val="000000"/>
                    </w:rPr>
                    <w:t>Vidējais</w:t>
                  </w: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0C2B2" w14:textId="77777777" w:rsidR="00A3283B" w:rsidRPr="000F1C2D" w:rsidRDefault="00A3283B" w:rsidP="00122943">
                  <w:pPr>
                    <w:jc w:val="right"/>
                    <w:rPr>
                      <w:color w:val="000000"/>
                    </w:rPr>
                  </w:pPr>
                  <w:r w:rsidRPr="000F1C2D">
                    <w:rPr>
                      <w:color w:val="000000"/>
                    </w:rPr>
                    <w:t>3606</w:t>
                  </w:r>
                </w:p>
              </w:tc>
              <w:tc>
                <w:tcPr>
                  <w:tcW w:w="15" w:type="dxa"/>
                  <w:tcBorders>
                    <w:top w:val="nil"/>
                    <w:left w:val="nil"/>
                    <w:bottom w:val="single" w:sz="8" w:space="0" w:color="auto"/>
                    <w:right w:val="nil"/>
                  </w:tcBorders>
                </w:tcPr>
                <w:p w14:paraId="5B29FCD5" w14:textId="77777777" w:rsidR="00A3283B" w:rsidRPr="000F1C2D" w:rsidRDefault="00A3283B" w:rsidP="00122943">
                  <w:pPr>
                    <w:jc w:val="right"/>
                    <w:rPr>
                      <w:color w:val="000000"/>
                    </w:rPr>
                  </w:pPr>
                </w:p>
              </w:tc>
              <w:tc>
                <w:tcPr>
                  <w:tcW w:w="1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D54CDF" w14:textId="77777777" w:rsidR="00A3283B" w:rsidRPr="000F1C2D" w:rsidRDefault="00A3283B" w:rsidP="00122943">
                  <w:pPr>
                    <w:jc w:val="right"/>
                    <w:rPr>
                      <w:color w:val="000000"/>
                    </w:rPr>
                  </w:pPr>
                  <w:r w:rsidRPr="000F1C2D">
                    <w:rPr>
                      <w:color w:val="000000"/>
                    </w:rPr>
                    <w:t>5078</w:t>
                  </w:r>
                </w:p>
              </w:tc>
            </w:tr>
          </w:tbl>
          <w:p w14:paraId="431BAC2F" w14:textId="77777777" w:rsidR="00A3283B" w:rsidRPr="00A50B54" w:rsidRDefault="00A3283B" w:rsidP="00122943">
            <w:pPr>
              <w:rPr>
                <w:highlight w:val="yellow"/>
              </w:rPr>
            </w:pPr>
            <w:r w:rsidRPr="000F1C2D">
              <w:t>Papildus lūdzam skatīt arī atbildi uz 2.</w:t>
            </w:r>
            <w:r>
              <w:t xml:space="preserve"> un 3.</w:t>
            </w:r>
            <w:r w:rsidRPr="000F1C2D">
              <w:t>jautājumu.</w:t>
            </w:r>
          </w:p>
        </w:tc>
      </w:tr>
      <w:tr w:rsidR="00A3283B" w:rsidRPr="006C6AAF" w14:paraId="55F2F175" w14:textId="77777777" w:rsidTr="00A3283B">
        <w:trPr>
          <w:trHeight w:val="680"/>
        </w:trPr>
        <w:tc>
          <w:tcPr>
            <w:tcW w:w="851" w:type="dxa"/>
            <w:shd w:val="clear" w:color="auto" w:fill="auto"/>
          </w:tcPr>
          <w:p w14:paraId="58B85A03" w14:textId="77777777" w:rsidR="00A3283B" w:rsidRPr="00386A8B" w:rsidRDefault="00A3283B" w:rsidP="00122943">
            <w:pPr>
              <w:jc w:val="center"/>
              <w:rPr>
                <w:rFonts w:eastAsia="Calibri"/>
              </w:rPr>
            </w:pPr>
            <w:r w:rsidRPr="00386A8B">
              <w:rPr>
                <w:rFonts w:eastAsia="Calibri"/>
              </w:rPr>
              <w:lastRenderedPageBreak/>
              <w:t>5.</w:t>
            </w:r>
          </w:p>
        </w:tc>
        <w:tc>
          <w:tcPr>
            <w:tcW w:w="4536" w:type="dxa"/>
            <w:shd w:val="clear" w:color="auto" w:fill="auto"/>
          </w:tcPr>
          <w:p w14:paraId="33621D47" w14:textId="77777777" w:rsidR="00A3283B" w:rsidRPr="00EA3F5F" w:rsidRDefault="00A3283B" w:rsidP="00122943">
            <w:pPr>
              <w:shd w:val="clear" w:color="auto" w:fill="FFFFFF"/>
              <w:spacing w:after="160" w:line="235" w:lineRule="atLeast"/>
              <w:ind w:left="61"/>
              <w:rPr>
                <w:color w:val="222222"/>
              </w:rPr>
            </w:pPr>
            <w:r w:rsidRPr="00386A8B">
              <w:rPr>
                <w:color w:val="222222"/>
              </w:rPr>
              <w:t>Kāda ir paredzētā līgumcena šajā procedūrā?</w:t>
            </w:r>
          </w:p>
        </w:tc>
        <w:tc>
          <w:tcPr>
            <w:tcW w:w="4751" w:type="dxa"/>
            <w:shd w:val="clear" w:color="auto" w:fill="auto"/>
          </w:tcPr>
          <w:p w14:paraId="5609EDC1" w14:textId="77777777" w:rsidR="00A3283B" w:rsidRPr="00B15B8B" w:rsidRDefault="00A3283B" w:rsidP="00122943">
            <w:r>
              <w:t xml:space="preserve">Pasūtītāja paredzamā līgumcena šim iepirkumam ir 95 000.00 EUR </w:t>
            </w:r>
            <w:r w:rsidRPr="00D22273">
              <w:rPr>
                <w:i/>
                <w:iCs/>
              </w:rPr>
              <w:t>(deviņdesmit pieci tūkstoši euro un 00 centi)</w:t>
            </w:r>
            <w:r>
              <w:t xml:space="preserve"> bez PVN.</w:t>
            </w:r>
          </w:p>
        </w:tc>
      </w:tr>
    </w:tbl>
    <w:p w14:paraId="6426085E" w14:textId="77777777" w:rsidR="00A3283B" w:rsidRPr="00291EAB" w:rsidRDefault="00A3283B" w:rsidP="00A3283B">
      <w:pPr>
        <w:rPr>
          <w:rFonts w:ascii="Arial" w:hAnsi="Arial" w:cs="Arial"/>
          <w:highlight w:val="yellow"/>
        </w:rPr>
      </w:pPr>
    </w:p>
    <w:p w14:paraId="221BE973" w14:textId="77777777" w:rsidR="00A3283B" w:rsidRDefault="00A3283B" w:rsidP="00A3283B">
      <w:pPr>
        <w:rPr>
          <w:rFonts w:ascii="Arial" w:hAnsi="Arial" w:cs="Arial"/>
        </w:rPr>
      </w:pPr>
    </w:p>
    <w:p w14:paraId="23D79873" w14:textId="77777777" w:rsidR="00A3283B" w:rsidRDefault="00A3283B" w:rsidP="00A3283B">
      <w:pPr>
        <w:rPr>
          <w:rFonts w:ascii="Arial" w:hAnsi="Arial" w:cs="Arial"/>
        </w:rPr>
      </w:pPr>
    </w:p>
    <w:p w14:paraId="055D8C74" w14:textId="77777777" w:rsidR="00A3283B" w:rsidRPr="00C20434" w:rsidRDefault="00A3283B">
      <w:pPr>
        <w:rPr>
          <w:rFonts w:ascii="Arial" w:hAnsi="Arial" w:cs="Arial"/>
        </w:rPr>
      </w:pPr>
    </w:p>
    <w:sectPr w:rsidR="00A3283B"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706EC"/>
    <w:multiLevelType w:val="hybridMultilevel"/>
    <w:tmpl w:val="845075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3B"/>
    <w:rsid w:val="003204EA"/>
    <w:rsid w:val="008D74A1"/>
    <w:rsid w:val="0098236C"/>
    <w:rsid w:val="00A3283B"/>
    <w:rsid w:val="00AB3184"/>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CDD4"/>
  <w15:chartTrackingRefBased/>
  <w15:docId w15:val="{CB4B0517-CB56-4185-B9C7-2D75EAFC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83B"/>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3283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3283B"/>
    <w:rPr>
      <w:rFonts w:ascii="Segoe UI" w:hAnsi="Segoe UI" w:cs="Segoe UI"/>
      <w:sz w:val="18"/>
      <w:szCs w:val="18"/>
    </w:rPr>
  </w:style>
  <w:style w:type="paragraph" w:styleId="Sarakstarindkopa">
    <w:name w:val="List Paragraph"/>
    <w:aliases w:val="H&amp;P List Paragraph,2,Strip,Normal bullet 2,Bullet list,Saistīto dokumentu saraksts,PPS_Bullet,Syle 1,Numurets,Virsraksti,List Paragraph1,List Paragraph 1"/>
    <w:basedOn w:val="Parasts"/>
    <w:link w:val="SarakstarindkopaRakstz"/>
    <w:uiPriority w:val="34"/>
    <w:qFormat/>
    <w:rsid w:val="00A3283B"/>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A3283B"/>
    <w:rPr>
      <w:rFonts w:ascii="Times New Roman" w:eastAsia="Calibri" w:hAnsi="Times New Roman" w:cs="Times New Roman"/>
      <w:sz w:val="20"/>
      <w:szCs w:val="20"/>
      <w:lang w:eastAsia="lv-LV"/>
    </w:rPr>
  </w:style>
  <w:style w:type="character" w:styleId="Komentraatsauce">
    <w:name w:val="annotation reference"/>
    <w:basedOn w:val="Noklusjumarindkopasfonts"/>
    <w:uiPriority w:val="99"/>
    <w:unhideWhenUsed/>
    <w:rsid w:val="00A3283B"/>
    <w:rPr>
      <w:sz w:val="16"/>
      <w:szCs w:val="16"/>
    </w:rPr>
  </w:style>
  <w:style w:type="paragraph" w:styleId="Komentrateksts">
    <w:name w:val="annotation text"/>
    <w:basedOn w:val="Parasts"/>
    <w:link w:val="KomentratekstsRakstz"/>
    <w:uiPriority w:val="99"/>
    <w:unhideWhenUsed/>
    <w:rsid w:val="00A3283B"/>
    <w:pPr>
      <w:jc w:val="left"/>
    </w:pPr>
    <w:rPr>
      <w:rFonts w:eastAsiaTheme="minorEastAsia"/>
      <w:sz w:val="20"/>
      <w:szCs w:val="20"/>
      <w:lang w:eastAsia="lv-LV"/>
    </w:rPr>
  </w:style>
  <w:style w:type="character" w:customStyle="1" w:styleId="KomentratekstsRakstz">
    <w:name w:val="Komentāra teksts Rakstz."/>
    <w:basedOn w:val="Noklusjumarindkopasfonts"/>
    <w:link w:val="Komentrateksts"/>
    <w:uiPriority w:val="99"/>
    <w:rsid w:val="00A3283B"/>
    <w:rPr>
      <w:rFonts w:ascii="Times New Roman" w:eastAsiaTheme="minorEastAsia"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3388</Words>
  <Characters>1932</Characters>
  <Application>Microsoft Office Word</Application>
  <DocSecurity>0</DocSecurity>
  <Lines>16</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2021-01-18T15:05:00Z</dcterms:created>
  <dcterms:modified xsi:type="dcterms:W3CDTF">2021-01-18T15:05:00Z</dcterms:modified>
</cp:coreProperties>
</file>