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46DF2D" w14:textId="77777777" w:rsidR="00420FE5" w:rsidRPr="002A4749" w:rsidRDefault="00420FE5" w:rsidP="00420FE5">
      <w:pPr>
        <w:pStyle w:val="Default"/>
        <w:jc w:val="right"/>
        <w:rPr>
          <w:rFonts w:ascii="Arial" w:hAnsi="Arial" w:cs="Arial"/>
          <w:sz w:val="22"/>
          <w:szCs w:val="22"/>
          <w:lang w:val="lv-LV"/>
        </w:rPr>
      </w:pPr>
      <w:r w:rsidRPr="002A4749">
        <w:rPr>
          <w:rFonts w:ascii="Arial" w:hAnsi="Arial" w:cs="Arial"/>
          <w:sz w:val="22"/>
          <w:szCs w:val="22"/>
          <w:lang w:val="lv-LV"/>
        </w:rPr>
        <w:t>APSTIPRINĀTS</w:t>
      </w:r>
    </w:p>
    <w:p w14:paraId="36EC7EF1" w14:textId="77777777" w:rsidR="00420FE5" w:rsidRPr="002A4749" w:rsidRDefault="00420FE5" w:rsidP="00420FE5">
      <w:pPr>
        <w:pStyle w:val="Default"/>
        <w:jc w:val="right"/>
        <w:rPr>
          <w:rFonts w:ascii="Arial" w:hAnsi="Arial" w:cs="Arial"/>
          <w:sz w:val="22"/>
          <w:szCs w:val="22"/>
          <w:lang w:val="lv-LV"/>
        </w:rPr>
      </w:pPr>
      <w:r w:rsidRPr="002A4749">
        <w:rPr>
          <w:rFonts w:ascii="Arial" w:hAnsi="Arial" w:cs="Arial"/>
          <w:sz w:val="22"/>
          <w:szCs w:val="22"/>
          <w:lang w:val="lv-LV"/>
        </w:rPr>
        <w:t>ar VAS “Latvijas dzelzceļš” iepirkuma komisijas</w:t>
      </w:r>
    </w:p>
    <w:p w14:paraId="29CEA2DE" w14:textId="576462FD" w:rsidR="00420FE5" w:rsidRPr="002A4749" w:rsidRDefault="00420FE5" w:rsidP="00420FE5">
      <w:pPr>
        <w:pStyle w:val="Default"/>
        <w:jc w:val="right"/>
        <w:rPr>
          <w:rFonts w:ascii="Arial" w:hAnsi="Arial" w:cs="Arial"/>
          <w:sz w:val="22"/>
          <w:szCs w:val="22"/>
          <w:lang w:val="lv-LV"/>
        </w:rPr>
      </w:pPr>
      <w:r w:rsidRPr="002A4749">
        <w:rPr>
          <w:rFonts w:ascii="Arial" w:hAnsi="Arial" w:cs="Arial"/>
          <w:sz w:val="22"/>
          <w:szCs w:val="22"/>
          <w:lang w:val="lv-LV"/>
        </w:rPr>
        <w:t xml:space="preserve">2021.gada </w:t>
      </w:r>
      <w:r w:rsidR="00955F08">
        <w:rPr>
          <w:rFonts w:ascii="Arial" w:hAnsi="Arial" w:cs="Arial"/>
          <w:sz w:val="22"/>
          <w:szCs w:val="22"/>
          <w:lang w:val="lv-LV"/>
        </w:rPr>
        <w:t>9</w:t>
      </w:r>
      <w:r>
        <w:rPr>
          <w:rFonts w:ascii="Arial" w:hAnsi="Arial" w:cs="Arial"/>
          <w:sz w:val="22"/>
          <w:szCs w:val="22"/>
          <w:lang w:val="lv-LV"/>
        </w:rPr>
        <w:t>.aprīļa 2</w:t>
      </w:r>
      <w:r w:rsidRPr="002A4749">
        <w:rPr>
          <w:rFonts w:ascii="Arial" w:hAnsi="Arial" w:cs="Arial"/>
          <w:sz w:val="22"/>
          <w:szCs w:val="22"/>
          <w:lang w:val="lv-LV"/>
        </w:rPr>
        <w:t>.sēdes protokolu</w:t>
      </w:r>
    </w:p>
    <w:p w14:paraId="774AE4C7" w14:textId="77777777" w:rsidR="00420FE5" w:rsidRPr="00E20C14" w:rsidRDefault="00420FE5" w:rsidP="00420FE5">
      <w:pPr>
        <w:pStyle w:val="Default"/>
        <w:jc w:val="right"/>
        <w:rPr>
          <w:rFonts w:ascii="Arial" w:hAnsi="Arial" w:cs="Arial"/>
          <w:sz w:val="22"/>
          <w:szCs w:val="22"/>
          <w:lang w:val="lv-LV"/>
        </w:rPr>
      </w:pPr>
    </w:p>
    <w:p w14:paraId="0F37A719" w14:textId="3AA04C80" w:rsidR="00420FE5" w:rsidRPr="00EE0113" w:rsidRDefault="00420FE5" w:rsidP="00420FE5">
      <w:pPr>
        <w:pStyle w:val="Default"/>
        <w:jc w:val="center"/>
        <w:rPr>
          <w:rFonts w:ascii="Arial" w:hAnsi="Arial" w:cs="Arial"/>
          <w:b/>
          <w:sz w:val="22"/>
          <w:szCs w:val="22"/>
          <w:lang w:val="lv-LV"/>
        </w:rPr>
      </w:pPr>
      <w:r w:rsidRPr="00EE0113">
        <w:rPr>
          <w:rFonts w:ascii="Arial" w:hAnsi="Arial" w:cs="Arial"/>
          <w:b/>
          <w:sz w:val="22"/>
          <w:szCs w:val="22"/>
          <w:lang w:val="lv-LV"/>
        </w:rPr>
        <w:t>Sarunu procedūrā ar publikāciju</w:t>
      </w:r>
      <w:r>
        <w:rPr>
          <w:rFonts w:ascii="Arial" w:hAnsi="Arial" w:cs="Arial"/>
          <w:b/>
          <w:sz w:val="22"/>
          <w:szCs w:val="22"/>
          <w:lang w:val="lv-LV"/>
        </w:rPr>
        <w:t xml:space="preserve"> </w:t>
      </w:r>
      <w:r w:rsidRPr="00EE0113">
        <w:rPr>
          <w:rFonts w:ascii="Arial" w:hAnsi="Arial" w:cs="Arial"/>
          <w:b/>
          <w:sz w:val="22"/>
          <w:szCs w:val="22"/>
          <w:lang w:val="lv-LV"/>
        </w:rPr>
        <w:t>“</w:t>
      </w:r>
      <w:r w:rsidRPr="000778E3">
        <w:rPr>
          <w:rFonts w:ascii="Arial" w:hAnsi="Arial" w:cs="Arial"/>
          <w:b/>
          <w:sz w:val="22"/>
          <w:szCs w:val="22"/>
          <w:lang w:val="lv-LV"/>
        </w:rPr>
        <w:t>110kV sprieguma eļļas slēdžu ar balsta konstrukcijām nomaiņa</w:t>
      </w:r>
      <w:r w:rsidRPr="00EE0113">
        <w:rPr>
          <w:rFonts w:ascii="Arial" w:hAnsi="Arial" w:cs="Arial"/>
          <w:b/>
          <w:sz w:val="22"/>
          <w:szCs w:val="22"/>
          <w:lang w:val="lv-LV"/>
        </w:rPr>
        <w:t>”</w:t>
      </w:r>
    </w:p>
    <w:p w14:paraId="04693897" w14:textId="32A39F05" w:rsidR="00420FE5" w:rsidRPr="00EE0113" w:rsidRDefault="00420FE5" w:rsidP="00420FE5">
      <w:pPr>
        <w:pStyle w:val="Default"/>
        <w:jc w:val="center"/>
        <w:rPr>
          <w:rFonts w:ascii="Arial" w:hAnsi="Arial" w:cs="Arial"/>
          <w:b/>
          <w:sz w:val="22"/>
          <w:szCs w:val="22"/>
          <w:lang w:val="lv-LV"/>
        </w:rPr>
      </w:pPr>
      <w:r w:rsidRPr="00EE0113">
        <w:rPr>
          <w:rFonts w:ascii="Arial" w:hAnsi="Arial" w:cs="Arial"/>
          <w:b/>
          <w:sz w:val="22"/>
          <w:szCs w:val="22"/>
          <w:lang w:val="lv-LV"/>
        </w:rPr>
        <w:t xml:space="preserve"> (turpmāk – sarunu procedūra)</w:t>
      </w:r>
    </w:p>
    <w:p w14:paraId="53AC9F98" w14:textId="77777777" w:rsidR="00420FE5" w:rsidRPr="00EE0113" w:rsidRDefault="00420FE5" w:rsidP="00420FE5">
      <w:pPr>
        <w:pStyle w:val="Default"/>
        <w:jc w:val="center"/>
        <w:rPr>
          <w:rFonts w:ascii="Arial" w:hAnsi="Arial" w:cs="Arial"/>
          <w:b/>
          <w:smallCaps/>
          <w:sz w:val="22"/>
          <w:szCs w:val="22"/>
          <w:lang w:val="lv-LV"/>
        </w:rPr>
      </w:pPr>
    </w:p>
    <w:p w14:paraId="2073608A" w14:textId="77777777" w:rsidR="00420FE5" w:rsidRPr="00EE0113" w:rsidRDefault="00420FE5" w:rsidP="00420FE5">
      <w:pPr>
        <w:pStyle w:val="Default"/>
        <w:jc w:val="center"/>
        <w:rPr>
          <w:rFonts w:ascii="Arial" w:hAnsi="Arial" w:cs="Arial"/>
          <w:b/>
          <w:smallCaps/>
          <w:sz w:val="22"/>
          <w:szCs w:val="22"/>
          <w:lang w:val="lv-LV"/>
        </w:rPr>
      </w:pPr>
      <w:r w:rsidRPr="00EE0113">
        <w:rPr>
          <w:rFonts w:ascii="Arial" w:hAnsi="Arial" w:cs="Arial"/>
          <w:b/>
          <w:smallCaps/>
          <w:sz w:val="22"/>
          <w:szCs w:val="22"/>
          <w:lang w:val="lv-LV"/>
        </w:rPr>
        <w:t>Skaidrojums Nr.1</w:t>
      </w:r>
    </w:p>
    <w:p w14:paraId="054B4B34" w14:textId="29453C7B" w:rsidR="00420FE5" w:rsidRPr="008E100F" w:rsidRDefault="00420FE5" w:rsidP="00420FE5">
      <w:pPr>
        <w:pStyle w:val="Default"/>
        <w:jc w:val="center"/>
        <w:rPr>
          <w:rFonts w:ascii="Arial" w:hAnsi="Arial" w:cs="Arial"/>
          <w:bCs/>
          <w:sz w:val="22"/>
          <w:szCs w:val="22"/>
          <w:lang w:val="lv-LV"/>
        </w:rPr>
      </w:pPr>
      <w:r>
        <w:rPr>
          <w:rFonts w:ascii="Arial" w:hAnsi="Arial" w:cs="Arial"/>
          <w:bCs/>
          <w:sz w:val="22"/>
          <w:szCs w:val="22"/>
          <w:lang w:val="lv-LV"/>
        </w:rPr>
        <w:t xml:space="preserve">Iepirkuma komisijas sniegtā atbilde pēc </w:t>
      </w:r>
      <w:r w:rsidRPr="008E100F">
        <w:rPr>
          <w:rFonts w:ascii="Arial" w:hAnsi="Arial" w:cs="Arial"/>
          <w:bCs/>
          <w:sz w:val="22"/>
          <w:szCs w:val="22"/>
          <w:lang w:val="lv-LV"/>
        </w:rPr>
        <w:t>Ieinteresēt</w:t>
      </w:r>
      <w:r>
        <w:rPr>
          <w:rFonts w:ascii="Arial" w:hAnsi="Arial" w:cs="Arial"/>
          <w:bCs/>
          <w:sz w:val="22"/>
          <w:szCs w:val="22"/>
          <w:lang w:val="lv-LV"/>
        </w:rPr>
        <w:t>ā</w:t>
      </w:r>
      <w:r w:rsidRPr="008E100F">
        <w:rPr>
          <w:rFonts w:ascii="Arial" w:hAnsi="Arial" w:cs="Arial"/>
          <w:bCs/>
          <w:sz w:val="22"/>
          <w:szCs w:val="22"/>
          <w:lang w:val="lv-LV"/>
        </w:rPr>
        <w:t xml:space="preserve"> piegādātāj</w:t>
      </w:r>
      <w:r>
        <w:rPr>
          <w:rFonts w:ascii="Arial" w:hAnsi="Arial" w:cs="Arial"/>
          <w:bCs/>
          <w:sz w:val="22"/>
          <w:szCs w:val="22"/>
          <w:lang w:val="lv-LV"/>
        </w:rPr>
        <w:t>a</w:t>
      </w:r>
      <w:r w:rsidRPr="008E100F">
        <w:rPr>
          <w:rFonts w:ascii="Arial" w:hAnsi="Arial" w:cs="Arial"/>
          <w:bCs/>
          <w:sz w:val="22"/>
          <w:szCs w:val="22"/>
          <w:lang w:val="lv-LV"/>
        </w:rPr>
        <w:t xml:space="preserve"> jautājum</w:t>
      </w:r>
      <w:r>
        <w:rPr>
          <w:rFonts w:ascii="Arial" w:hAnsi="Arial" w:cs="Arial"/>
          <w:bCs/>
          <w:sz w:val="22"/>
          <w:szCs w:val="22"/>
          <w:lang w:val="lv-LV"/>
        </w:rPr>
        <w:t>a</w:t>
      </w:r>
      <w:r w:rsidRPr="008E100F">
        <w:rPr>
          <w:rFonts w:ascii="Arial" w:hAnsi="Arial" w:cs="Arial"/>
          <w:bCs/>
          <w:sz w:val="22"/>
          <w:szCs w:val="22"/>
          <w:lang w:val="lv-LV"/>
        </w:rPr>
        <w:t xml:space="preserve"> (saņemt</w:t>
      </w:r>
      <w:r>
        <w:rPr>
          <w:rFonts w:ascii="Arial" w:hAnsi="Arial" w:cs="Arial"/>
          <w:bCs/>
          <w:sz w:val="22"/>
          <w:szCs w:val="22"/>
          <w:lang w:val="lv-LV"/>
        </w:rPr>
        <w:t>s 07.04</w:t>
      </w:r>
      <w:r w:rsidRPr="008E100F">
        <w:rPr>
          <w:rFonts w:ascii="Arial" w:hAnsi="Arial" w:cs="Arial"/>
          <w:bCs/>
          <w:sz w:val="22"/>
          <w:szCs w:val="22"/>
          <w:lang w:val="lv-LV"/>
        </w:rPr>
        <w:t>.2021.</w:t>
      </w:r>
      <w:r w:rsidR="00D85B47">
        <w:rPr>
          <w:rFonts w:ascii="Arial" w:hAnsi="Arial" w:cs="Arial"/>
          <w:bCs/>
          <w:sz w:val="22"/>
          <w:szCs w:val="22"/>
          <w:lang w:val="lv-LV"/>
        </w:rPr>
        <w:t xml:space="preserve">, </w:t>
      </w:r>
      <w:r w:rsidR="003947E4">
        <w:rPr>
          <w:rFonts w:ascii="Arial" w:hAnsi="Arial" w:cs="Arial"/>
          <w:bCs/>
          <w:sz w:val="22"/>
          <w:szCs w:val="22"/>
          <w:lang w:val="lv-LV"/>
        </w:rPr>
        <w:t>08.04.2021.</w:t>
      </w:r>
      <w:r w:rsidR="00C84F77" w:rsidRPr="0021184E">
        <w:rPr>
          <w:rFonts w:ascii="Arial" w:hAnsi="Arial" w:cs="Arial"/>
          <w:bCs/>
          <w:color w:val="auto"/>
          <w:sz w:val="22"/>
          <w:szCs w:val="22"/>
          <w:lang w:val="lv-LV"/>
        </w:rPr>
        <w:t xml:space="preserve">un </w:t>
      </w:r>
      <w:r w:rsidR="00D85B47" w:rsidRPr="0021184E">
        <w:rPr>
          <w:rFonts w:ascii="Arial" w:hAnsi="Arial" w:cs="Arial"/>
          <w:bCs/>
          <w:color w:val="auto"/>
          <w:sz w:val="22"/>
          <w:szCs w:val="22"/>
          <w:lang w:val="lv-LV"/>
        </w:rPr>
        <w:t>09.04.2021.</w:t>
      </w:r>
      <w:r w:rsidRPr="008E100F">
        <w:rPr>
          <w:rFonts w:ascii="Arial" w:hAnsi="Arial" w:cs="Arial"/>
          <w:bCs/>
          <w:sz w:val="22"/>
          <w:szCs w:val="22"/>
          <w:lang w:val="lv-LV"/>
        </w:rPr>
        <w:t>):</w:t>
      </w:r>
    </w:p>
    <w:p w14:paraId="2CC4A86D" w14:textId="77777777" w:rsidR="00483333" w:rsidRPr="00E20C14" w:rsidRDefault="00483333" w:rsidP="00483333">
      <w:pPr>
        <w:pStyle w:val="Default"/>
        <w:jc w:val="right"/>
        <w:rPr>
          <w:rFonts w:ascii="Arial" w:hAnsi="Arial" w:cs="Arial"/>
          <w:sz w:val="22"/>
          <w:szCs w:val="22"/>
          <w:lang w:val="lv-LV"/>
        </w:rPr>
      </w:pPr>
    </w:p>
    <w:tbl>
      <w:tblPr>
        <w:tblStyle w:val="TableGrid"/>
        <w:tblW w:w="9933" w:type="dxa"/>
        <w:tblInd w:w="-289" w:type="dxa"/>
        <w:tblLook w:val="04A0" w:firstRow="1" w:lastRow="0" w:firstColumn="1" w:lastColumn="0" w:noHBand="0" w:noVBand="1"/>
      </w:tblPr>
      <w:tblGrid>
        <w:gridCol w:w="421"/>
        <w:gridCol w:w="5108"/>
        <w:gridCol w:w="4404"/>
      </w:tblGrid>
      <w:tr w:rsidR="00483333" w:rsidRPr="00EE0113" w14:paraId="445AD708" w14:textId="77777777" w:rsidTr="00FC3637">
        <w:tc>
          <w:tcPr>
            <w:tcW w:w="421" w:type="dxa"/>
          </w:tcPr>
          <w:p w14:paraId="42A28512" w14:textId="77777777" w:rsidR="00483333" w:rsidRPr="00EE0113" w:rsidRDefault="00483333" w:rsidP="00FE5371">
            <w:pPr>
              <w:pStyle w:val="Default"/>
              <w:jc w:val="center"/>
              <w:rPr>
                <w:rFonts w:ascii="Arial" w:hAnsi="Arial" w:cs="Arial"/>
                <w:bCs/>
                <w:sz w:val="22"/>
                <w:szCs w:val="22"/>
                <w:lang w:val="lv-LV"/>
              </w:rPr>
            </w:pPr>
            <w:bookmarkStart w:id="0" w:name="_GoBack"/>
            <w:bookmarkEnd w:id="0"/>
          </w:p>
        </w:tc>
        <w:tc>
          <w:tcPr>
            <w:tcW w:w="5108" w:type="dxa"/>
          </w:tcPr>
          <w:p w14:paraId="6FD7DECD" w14:textId="77777777" w:rsidR="00483333" w:rsidRPr="00483333" w:rsidRDefault="00483333" w:rsidP="00FE5371">
            <w:pPr>
              <w:pStyle w:val="Default"/>
              <w:jc w:val="center"/>
              <w:rPr>
                <w:rFonts w:ascii="Arial" w:hAnsi="Arial" w:cs="Arial"/>
                <w:bCs/>
                <w:sz w:val="22"/>
                <w:szCs w:val="22"/>
                <w:lang w:val="lv-LV"/>
              </w:rPr>
            </w:pPr>
            <w:r w:rsidRPr="00483333">
              <w:rPr>
                <w:rFonts w:ascii="Arial" w:hAnsi="Arial" w:cs="Arial"/>
                <w:bCs/>
                <w:sz w:val="22"/>
                <w:szCs w:val="22"/>
                <w:lang w:val="lv-LV"/>
              </w:rPr>
              <w:t>Jautājums</w:t>
            </w:r>
          </w:p>
        </w:tc>
        <w:tc>
          <w:tcPr>
            <w:tcW w:w="4404" w:type="dxa"/>
          </w:tcPr>
          <w:p w14:paraId="478B4174" w14:textId="77777777" w:rsidR="00483333" w:rsidRPr="00483333" w:rsidRDefault="00483333" w:rsidP="00FE5371">
            <w:pPr>
              <w:pStyle w:val="Default"/>
              <w:jc w:val="center"/>
              <w:rPr>
                <w:rFonts w:ascii="Arial" w:hAnsi="Arial" w:cs="Arial"/>
                <w:b/>
                <w:color w:val="auto"/>
                <w:sz w:val="22"/>
                <w:szCs w:val="22"/>
                <w:lang w:val="lv-LV"/>
              </w:rPr>
            </w:pPr>
            <w:r w:rsidRPr="00483333">
              <w:rPr>
                <w:rFonts w:ascii="Arial" w:hAnsi="Arial" w:cs="Arial"/>
                <w:b/>
                <w:color w:val="auto"/>
                <w:sz w:val="22"/>
                <w:szCs w:val="22"/>
                <w:lang w:val="lv-LV"/>
              </w:rPr>
              <w:t>Atbilde</w:t>
            </w:r>
          </w:p>
        </w:tc>
      </w:tr>
      <w:tr w:rsidR="00483333" w:rsidRPr="007F0C92" w14:paraId="264CC7B3" w14:textId="77777777" w:rsidTr="00FC3637">
        <w:tc>
          <w:tcPr>
            <w:tcW w:w="421" w:type="dxa"/>
          </w:tcPr>
          <w:p w14:paraId="6BF82A37" w14:textId="77777777" w:rsidR="00483333" w:rsidRPr="00420FE5" w:rsidRDefault="00483333" w:rsidP="00FE5371">
            <w:pPr>
              <w:pStyle w:val="Default"/>
              <w:jc w:val="both"/>
              <w:rPr>
                <w:rFonts w:ascii="Arial" w:hAnsi="Arial" w:cs="Arial"/>
                <w:color w:val="auto"/>
                <w:sz w:val="22"/>
                <w:szCs w:val="22"/>
                <w:lang w:val="lv-LV"/>
              </w:rPr>
            </w:pPr>
            <w:r>
              <w:rPr>
                <w:rFonts w:ascii="Arial" w:hAnsi="Arial" w:cs="Arial"/>
                <w:color w:val="auto"/>
                <w:sz w:val="22"/>
                <w:szCs w:val="22"/>
                <w:lang w:val="lv-LV"/>
              </w:rPr>
              <w:t>1.</w:t>
            </w:r>
          </w:p>
        </w:tc>
        <w:tc>
          <w:tcPr>
            <w:tcW w:w="5108" w:type="dxa"/>
          </w:tcPr>
          <w:p w14:paraId="2A7877CB" w14:textId="77777777" w:rsidR="00483333" w:rsidRPr="00483333" w:rsidRDefault="00483333" w:rsidP="00FE5371">
            <w:pPr>
              <w:pStyle w:val="Default"/>
              <w:jc w:val="both"/>
              <w:rPr>
                <w:rFonts w:ascii="Arial" w:hAnsi="Arial" w:cs="Arial"/>
                <w:bCs/>
                <w:sz w:val="22"/>
                <w:szCs w:val="22"/>
                <w:lang w:val="lv-LV"/>
              </w:rPr>
            </w:pPr>
            <w:r w:rsidRPr="00483333">
              <w:rPr>
                <w:rFonts w:ascii="Arial" w:hAnsi="Arial" w:cs="Arial"/>
                <w:color w:val="auto"/>
                <w:sz w:val="22"/>
                <w:szCs w:val="22"/>
                <w:lang w:val="lv-LV"/>
              </w:rPr>
              <w:t xml:space="preserve">Ņemot vērā, ka esošajos (demontējamos) jaudas slēdžos ir iebūvēti strāvmaiņi, taču jaunajos, tehniskajā specifikācijā paredzētajos jaudas slēdžos </w:t>
            </w:r>
            <w:proofErr w:type="spellStart"/>
            <w:r w:rsidRPr="00483333">
              <w:rPr>
                <w:rFonts w:ascii="Arial" w:hAnsi="Arial" w:cs="Arial"/>
                <w:color w:val="auto"/>
                <w:sz w:val="22"/>
                <w:szCs w:val="22"/>
                <w:lang w:val="lv-LV"/>
              </w:rPr>
              <w:t>strāvmaiņu</w:t>
            </w:r>
            <w:proofErr w:type="spellEnd"/>
            <w:r w:rsidRPr="00483333">
              <w:rPr>
                <w:rFonts w:ascii="Arial" w:hAnsi="Arial" w:cs="Arial"/>
                <w:color w:val="auto"/>
                <w:sz w:val="22"/>
                <w:szCs w:val="22"/>
                <w:lang w:val="lv-LV"/>
              </w:rPr>
              <w:t xml:space="preserve"> nav,  lūdzam precizēt vai ir nepieciešams papildus uzstādīt arī 110kV strāvmaiņus vai 110kV kombinētos </w:t>
            </w:r>
            <w:proofErr w:type="spellStart"/>
            <w:r w:rsidRPr="00483333">
              <w:rPr>
                <w:rFonts w:ascii="Arial" w:hAnsi="Arial" w:cs="Arial"/>
                <w:color w:val="auto"/>
                <w:sz w:val="22"/>
                <w:szCs w:val="22"/>
                <w:lang w:val="lv-LV"/>
              </w:rPr>
              <w:t>mērmaiņus</w:t>
            </w:r>
            <w:proofErr w:type="spellEnd"/>
            <w:r w:rsidRPr="00483333">
              <w:rPr>
                <w:rFonts w:ascii="Arial" w:hAnsi="Arial" w:cs="Arial"/>
                <w:color w:val="auto"/>
                <w:sz w:val="22"/>
                <w:szCs w:val="22"/>
                <w:lang w:val="lv-LV"/>
              </w:rPr>
              <w:t>? Ja ir nepieciešams šīs iekārtas paredzēt piedāvājumā, lūdzam izsniegt to tehnisko specifikāciju</w:t>
            </w:r>
          </w:p>
        </w:tc>
        <w:tc>
          <w:tcPr>
            <w:tcW w:w="4404" w:type="dxa"/>
          </w:tcPr>
          <w:p w14:paraId="6A986B4E" w14:textId="77777777" w:rsidR="00483333" w:rsidRPr="00483333" w:rsidRDefault="00483333" w:rsidP="00FE5371">
            <w:pPr>
              <w:pStyle w:val="Default"/>
              <w:ind w:firstLine="136"/>
              <w:jc w:val="both"/>
              <w:rPr>
                <w:rFonts w:ascii="Arial" w:hAnsi="Arial" w:cs="Arial"/>
                <w:color w:val="auto"/>
                <w:sz w:val="22"/>
                <w:szCs w:val="22"/>
                <w:lang w:val="lv-LV"/>
              </w:rPr>
            </w:pPr>
            <w:r w:rsidRPr="00483333">
              <w:rPr>
                <w:rFonts w:ascii="Arial" w:hAnsi="Arial" w:cs="Arial"/>
                <w:color w:val="auto"/>
                <w:sz w:val="22"/>
                <w:szCs w:val="22"/>
                <w:lang w:val="lv-LV"/>
              </w:rPr>
              <w:t>Nepieciešams papildus uzstādīt 110kV strāvmaiņus.</w:t>
            </w:r>
          </w:p>
          <w:p w14:paraId="745970E4" w14:textId="1E8A8309" w:rsidR="00483333" w:rsidRPr="00483333" w:rsidRDefault="00483333" w:rsidP="00FE5371">
            <w:pPr>
              <w:pStyle w:val="Default"/>
              <w:ind w:firstLine="136"/>
              <w:jc w:val="both"/>
              <w:rPr>
                <w:rFonts w:ascii="Arial" w:hAnsi="Arial" w:cs="Arial"/>
                <w:color w:val="auto"/>
                <w:sz w:val="22"/>
                <w:szCs w:val="22"/>
                <w:lang w:val="lv-LV"/>
              </w:rPr>
            </w:pPr>
            <w:r w:rsidRPr="00483333">
              <w:rPr>
                <w:rFonts w:ascii="Arial" w:hAnsi="Arial" w:cs="Arial"/>
                <w:color w:val="auto"/>
                <w:sz w:val="22"/>
                <w:szCs w:val="22"/>
                <w:lang w:val="lv-LV"/>
              </w:rPr>
              <w:t>Sarunu procedūras nolikums tiek papildināts ar Tehnisko specifikāciju un prasībām attiecībā uz 110kV strāvmaiņiem (skat.</w:t>
            </w:r>
            <w:r w:rsidR="00FC3637">
              <w:rPr>
                <w:rFonts w:ascii="Arial" w:hAnsi="Arial" w:cs="Arial"/>
                <w:color w:val="auto"/>
                <w:sz w:val="22"/>
                <w:szCs w:val="22"/>
                <w:lang w:val="lv-LV"/>
              </w:rPr>
              <w:t xml:space="preserve"> </w:t>
            </w:r>
            <w:r w:rsidRPr="00483333">
              <w:rPr>
                <w:rFonts w:ascii="Arial" w:hAnsi="Arial" w:cs="Arial"/>
                <w:color w:val="auto"/>
                <w:sz w:val="22"/>
                <w:szCs w:val="22"/>
                <w:lang w:val="lv-LV"/>
              </w:rPr>
              <w:t>sarunu procedūras nolikumam Grozījumus Nr.1).</w:t>
            </w:r>
          </w:p>
        </w:tc>
      </w:tr>
      <w:tr w:rsidR="00483333" w:rsidRPr="007F0C92" w14:paraId="3A5E04EB" w14:textId="77777777" w:rsidTr="00FC3637">
        <w:tc>
          <w:tcPr>
            <w:tcW w:w="421" w:type="dxa"/>
          </w:tcPr>
          <w:p w14:paraId="6A95F504" w14:textId="77777777" w:rsidR="00483333" w:rsidRPr="003947E4" w:rsidRDefault="00483333" w:rsidP="00FE5371">
            <w:pPr>
              <w:autoSpaceDE w:val="0"/>
              <w:autoSpaceDN w:val="0"/>
              <w:adjustRightInd w:val="0"/>
              <w:rPr>
                <w:rFonts w:ascii="Arial" w:eastAsiaTheme="minorHAnsi" w:hAnsi="Arial" w:cs="Arial"/>
                <w:color w:val="000000"/>
                <w:sz w:val="24"/>
                <w:szCs w:val="24"/>
                <w:lang w:val="lv-LV" w:eastAsia="en-US" w:bidi="lo-LA"/>
              </w:rPr>
            </w:pPr>
            <w:r>
              <w:rPr>
                <w:rFonts w:ascii="Arial" w:eastAsiaTheme="minorHAnsi" w:hAnsi="Arial" w:cs="Arial"/>
                <w:color w:val="000000"/>
                <w:sz w:val="24"/>
                <w:szCs w:val="24"/>
                <w:lang w:val="lv-LV" w:eastAsia="en-US" w:bidi="lo-LA"/>
              </w:rPr>
              <w:t>2.</w:t>
            </w:r>
          </w:p>
        </w:tc>
        <w:tc>
          <w:tcPr>
            <w:tcW w:w="5108" w:type="dxa"/>
          </w:tcPr>
          <w:p w14:paraId="15E5963D" w14:textId="539EAC4B" w:rsidR="00483333" w:rsidRPr="00483333" w:rsidRDefault="00483333" w:rsidP="00FE5371">
            <w:pPr>
              <w:pStyle w:val="Default"/>
              <w:jc w:val="both"/>
              <w:rPr>
                <w:rFonts w:ascii="Arial" w:hAnsi="Arial" w:cs="Arial"/>
                <w:color w:val="auto"/>
                <w:sz w:val="22"/>
                <w:szCs w:val="22"/>
                <w:lang w:val="lv-LV"/>
              </w:rPr>
            </w:pPr>
            <w:r w:rsidRPr="00483333">
              <w:rPr>
                <w:rFonts w:ascii="Arial" w:hAnsi="Arial" w:cs="Arial"/>
                <w:i/>
                <w:iCs/>
                <w:lang w:val="lv-LV" w:bidi="lo-LA"/>
              </w:rPr>
              <w:t xml:space="preserve"> </w:t>
            </w:r>
            <w:r w:rsidRPr="00483333">
              <w:rPr>
                <w:rFonts w:ascii="Arial" w:hAnsi="Arial" w:cs="Arial"/>
                <w:i/>
                <w:iCs/>
                <w:sz w:val="22"/>
                <w:szCs w:val="22"/>
                <w:lang w:val="lv-LV" w:bidi="lo-LA"/>
              </w:rPr>
              <w:t>XX</w:t>
            </w:r>
            <w:r w:rsidR="007F0C92">
              <w:rPr>
                <w:rStyle w:val="FootnoteReference"/>
                <w:rFonts w:ascii="Arial" w:hAnsi="Arial" w:cs="Arial"/>
                <w:i/>
                <w:iCs/>
                <w:sz w:val="22"/>
                <w:szCs w:val="22"/>
                <w:lang w:val="lv-LV" w:bidi="lo-LA"/>
              </w:rPr>
              <w:footnoteReference w:id="1"/>
            </w:r>
            <w:r w:rsidRPr="00483333">
              <w:rPr>
                <w:rFonts w:ascii="Arial" w:hAnsi="Arial" w:cs="Arial"/>
                <w:sz w:val="22"/>
                <w:szCs w:val="22"/>
                <w:lang w:val="lv-LV" w:bidi="lo-LA"/>
              </w:rPr>
              <w:t xml:space="preserve">, veicot objekta apskati (vilces apakšstacija EPEV-10 “Saulkrasti”, kas atrodas Dārza ielā 10a, Saulkrastos, Saulkrastu novadā), konstatēja, ka objektā esošajiem 110kV jaudas slēdžiem ir iebūvēti strāvmaiņi. Demontējot vecos jaudas slēdžus, arī strāvmaiņi tiek demontēti. Sarunu procedūras nolikumā neatrodam informāciju par jaunu </w:t>
            </w:r>
            <w:proofErr w:type="spellStart"/>
            <w:r w:rsidRPr="00483333">
              <w:rPr>
                <w:rFonts w:ascii="Arial" w:hAnsi="Arial" w:cs="Arial"/>
                <w:sz w:val="22"/>
                <w:szCs w:val="22"/>
                <w:lang w:val="lv-LV" w:bidi="lo-LA"/>
              </w:rPr>
              <w:t>mērmaiņu</w:t>
            </w:r>
            <w:proofErr w:type="spellEnd"/>
            <w:r w:rsidRPr="00483333">
              <w:rPr>
                <w:rFonts w:ascii="Arial" w:hAnsi="Arial" w:cs="Arial"/>
                <w:sz w:val="22"/>
                <w:szCs w:val="22"/>
                <w:lang w:val="lv-LV" w:bidi="lo-LA"/>
              </w:rPr>
              <w:t xml:space="preserve"> iegādi un montāžu. Lūdzu apstiprināt, ka jaunu </w:t>
            </w:r>
            <w:proofErr w:type="spellStart"/>
            <w:r w:rsidRPr="00483333">
              <w:rPr>
                <w:rFonts w:ascii="Arial" w:hAnsi="Arial" w:cs="Arial"/>
                <w:sz w:val="22"/>
                <w:szCs w:val="22"/>
                <w:lang w:val="lv-LV" w:bidi="lo-LA"/>
              </w:rPr>
              <w:t>mērmaiņu</w:t>
            </w:r>
            <w:proofErr w:type="spellEnd"/>
            <w:r w:rsidRPr="00483333">
              <w:rPr>
                <w:rFonts w:ascii="Arial" w:hAnsi="Arial" w:cs="Arial"/>
                <w:sz w:val="22"/>
                <w:szCs w:val="22"/>
                <w:lang w:val="lv-LV" w:bidi="lo-LA"/>
              </w:rPr>
              <w:t xml:space="preserve"> iegāde un montāža nav jāveic.</w:t>
            </w:r>
          </w:p>
        </w:tc>
        <w:tc>
          <w:tcPr>
            <w:tcW w:w="4404" w:type="dxa"/>
          </w:tcPr>
          <w:p w14:paraId="23C15856" w14:textId="77777777" w:rsidR="00483333" w:rsidRPr="00483333" w:rsidRDefault="00483333" w:rsidP="00FE5371">
            <w:pPr>
              <w:pStyle w:val="Default"/>
              <w:ind w:firstLine="136"/>
              <w:jc w:val="both"/>
              <w:rPr>
                <w:rFonts w:ascii="Arial" w:hAnsi="Arial" w:cs="Arial"/>
                <w:color w:val="auto"/>
                <w:sz w:val="22"/>
                <w:szCs w:val="22"/>
                <w:lang w:val="lv-LV"/>
              </w:rPr>
            </w:pPr>
            <w:r w:rsidRPr="00483333">
              <w:rPr>
                <w:rFonts w:ascii="Arial" w:hAnsi="Arial" w:cs="Arial"/>
                <w:color w:val="auto"/>
                <w:sz w:val="22"/>
                <w:szCs w:val="22"/>
                <w:lang w:val="lv-LV"/>
              </w:rPr>
              <w:t>Nepieciešams papildus uzstādīt 110kV strāvmaiņus.</w:t>
            </w:r>
          </w:p>
          <w:p w14:paraId="4B669B3B" w14:textId="42D1C34A" w:rsidR="00483333" w:rsidRPr="00483333" w:rsidRDefault="00483333" w:rsidP="00FE5371">
            <w:pPr>
              <w:pStyle w:val="Default"/>
              <w:ind w:firstLine="136"/>
              <w:jc w:val="both"/>
              <w:rPr>
                <w:rFonts w:ascii="Arial" w:hAnsi="Arial" w:cs="Arial"/>
                <w:color w:val="auto"/>
                <w:sz w:val="22"/>
                <w:szCs w:val="22"/>
                <w:lang w:val="lv-LV"/>
              </w:rPr>
            </w:pPr>
            <w:r w:rsidRPr="00483333">
              <w:rPr>
                <w:rFonts w:ascii="Arial" w:hAnsi="Arial" w:cs="Arial"/>
                <w:color w:val="auto"/>
                <w:sz w:val="22"/>
                <w:szCs w:val="22"/>
                <w:lang w:val="lv-LV"/>
              </w:rPr>
              <w:t>Sarunu procedūras nolikums tiek papildināts ar Tehnisko specifikāciju un prasībām attiecībā uz 110kV strāvmaiņiem (skat.</w:t>
            </w:r>
            <w:r w:rsidR="00FC3637">
              <w:rPr>
                <w:rFonts w:ascii="Arial" w:hAnsi="Arial" w:cs="Arial"/>
                <w:color w:val="auto"/>
                <w:sz w:val="22"/>
                <w:szCs w:val="22"/>
                <w:lang w:val="lv-LV"/>
              </w:rPr>
              <w:t xml:space="preserve"> </w:t>
            </w:r>
            <w:r w:rsidRPr="00483333">
              <w:rPr>
                <w:rFonts w:ascii="Arial" w:hAnsi="Arial" w:cs="Arial"/>
                <w:color w:val="auto"/>
                <w:sz w:val="22"/>
                <w:szCs w:val="22"/>
                <w:lang w:val="lv-LV"/>
              </w:rPr>
              <w:t>sarunu procedūras nolikumam Grozījumus Nr.1).</w:t>
            </w:r>
          </w:p>
        </w:tc>
      </w:tr>
      <w:tr w:rsidR="00483333" w:rsidRPr="007F0C92" w14:paraId="6CEDD202" w14:textId="77777777" w:rsidTr="00FC3637">
        <w:tc>
          <w:tcPr>
            <w:tcW w:w="421" w:type="dxa"/>
          </w:tcPr>
          <w:p w14:paraId="43EF8715" w14:textId="77777777" w:rsidR="00483333" w:rsidRPr="00D85B47" w:rsidRDefault="00483333" w:rsidP="00FE5371">
            <w:pPr>
              <w:autoSpaceDE w:val="0"/>
              <w:autoSpaceDN w:val="0"/>
              <w:adjustRightInd w:val="0"/>
              <w:rPr>
                <w:rFonts w:ascii="Arial" w:eastAsiaTheme="minorHAnsi" w:hAnsi="Arial" w:cs="Arial"/>
                <w:color w:val="000000"/>
                <w:sz w:val="22"/>
                <w:szCs w:val="22"/>
                <w:lang w:val="lv-LV" w:eastAsia="en-US" w:bidi="lo-LA"/>
              </w:rPr>
            </w:pPr>
            <w:r w:rsidRPr="00D85B47">
              <w:rPr>
                <w:rFonts w:ascii="Arial" w:eastAsiaTheme="minorHAnsi" w:hAnsi="Arial" w:cs="Arial"/>
                <w:color w:val="000000"/>
                <w:sz w:val="22"/>
                <w:szCs w:val="22"/>
                <w:lang w:val="lv-LV" w:eastAsia="en-US" w:bidi="lo-LA"/>
              </w:rPr>
              <w:t>3.</w:t>
            </w:r>
          </w:p>
        </w:tc>
        <w:tc>
          <w:tcPr>
            <w:tcW w:w="5108" w:type="dxa"/>
          </w:tcPr>
          <w:p w14:paraId="571E170E" w14:textId="2A2ABADF" w:rsidR="00483333" w:rsidRPr="00483333" w:rsidRDefault="00483333" w:rsidP="00FE5371">
            <w:pPr>
              <w:pStyle w:val="Default"/>
              <w:jc w:val="both"/>
              <w:rPr>
                <w:rFonts w:ascii="Arial" w:hAnsi="Arial" w:cs="Arial"/>
                <w:i/>
                <w:iCs/>
                <w:sz w:val="22"/>
                <w:szCs w:val="22"/>
                <w:lang w:val="lv-LV" w:bidi="lo-LA"/>
              </w:rPr>
            </w:pPr>
            <w:r w:rsidRPr="00483333">
              <w:rPr>
                <w:rFonts w:ascii="Arial" w:hAnsi="Arial" w:cs="Arial"/>
                <w:sz w:val="22"/>
                <w:szCs w:val="22"/>
                <w:lang w:val="lv-LV"/>
              </w:rPr>
              <w:t xml:space="preserve">Izskatot LDz iesniegto “Vilces apakšstacijas ‘’Saulkrasti” (EPEV-10) 110 kV vienlīnijas shēmu” konstatēts, ka līdz ar jaudas slēdža demontāžu tiek demontēts arī tanī iebūvētais </w:t>
            </w:r>
            <w:proofErr w:type="spellStart"/>
            <w:r w:rsidRPr="00483333">
              <w:rPr>
                <w:rFonts w:ascii="Arial" w:hAnsi="Arial" w:cs="Arial"/>
                <w:sz w:val="22"/>
                <w:szCs w:val="22"/>
                <w:lang w:val="lv-LV"/>
              </w:rPr>
              <w:t>strāvmainis</w:t>
            </w:r>
            <w:proofErr w:type="spellEnd"/>
            <w:r w:rsidRPr="00483333">
              <w:rPr>
                <w:rFonts w:ascii="Arial" w:hAnsi="Arial" w:cs="Arial"/>
                <w:sz w:val="22"/>
                <w:szCs w:val="22"/>
                <w:lang w:val="lv-LV"/>
              </w:rPr>
              <w:t xml:space="preserve">. Jauna </w:t>
            </w:r>
            <w:proofErr w:type="spellStart"/>
            <w:r w:rsidRPr="00483333">
              <w:rPr>
                <w:rFonts w:ascii="Arial" w:hAnsi="Arial" w:cs="Arial"/>
                <w:sz w:val="22"/>
                <w:szCs w:val="22"/>
                <w:lang w:val="lv-LV"/>
              </w:rPr>
              <w:t>strāvmaiņa</w:t>
            </w:r>
            <w:proofErr w:type="spellEnd"/>
            <w:r w:rsidRPr="00483333">
              <w:rPr>
                <w:rFonts w:ascii="Arial" w:hAnsi="Arial" w:cs="Arial"/>
                <w:sz w:val="22"/>
                <w:szCs w:val="22"/>
                <w:lang w:val="lv-LV"/>
              </w:rPr>
              <w:t xml:space="preserve"> piegāde un uzstādīšana šī iepirkuma ietvaros nav paredzēta. Līdz ar to tiek pieņemts, ka jauno </w:t>
            </w:r>
            <w:proofErr w:type="spellStart"/>
            <w:r w:rsidRPr="00483333">
              <w:rPr>
                <w:rFonts w:ascii="Arial" w:hAnsi="Arial" w:cs="Arial"/>
                <w:sz w:val="22"/>
                <w:szCs w:val="22"/>
                <w:lang w:val="lv-LV"/>
              </w:rPr>
              <w:t>strāvmaiņu</w:t>
            </w:r>
            <w:proofErr w:type="spellEnd"/>
            <w:r w:rsidRPr="00483333">
              <w:rPr>
                <w:rFonts w:ascii="Arial" w:hAnsi="Arial" w:cs="Arial"/>
                <w:sz w:val="22"/>
                <w:szCs w:val="22"/>
                <w:lang w:val="lv-LV"/>
              </w:rPr>
              <w:t xml:space="preserve"> piegādi un uzstādīšanu nodrošinās Pasūtītājs. Lūdzu apstipriniet.</w:t>
            </w:r>
          </w:p>
        </w:tc>
        <w:tc>
          <w:tcPr>
            <w:tcW w:w="4404" w:type="dxa"/>
          </w:tcPr>
          <w:p w14:paraId="3867598A" w14:textId="77777777" w:rsidR="00483333" w:rsidRPr="00483333" w:rsidRDefault="00483333" w:rsidP="00FE5371">
            <w:pPr>
              <w:pStyle w:val="Default"/>
              <w:ind w:firstLine="136"/>
              <w:jc w:val="both"/>
              <w:rPr>
                <w:rFonts w:ascii="Arial" w:hAnsi="Arial" w:cs="Arial"/>
                <w:color w:val="auto"/>
                <w:sz w:val="22"/>
                <w:szCs w:val="22"/>
                <w:lang w:val="lv-LV"/>
              </w:rPr>
            </w:pPr>
            <w:r w:rsidRPr="00483333">
              <w:rPr>
                <w:rFonts w:ascii="Arial" w:hAnsi="Arial" w:cs="Arial"/>
                <w:color w:val="auto"/>
                <w:sz w:val="22"/>
                <w:szCs w:val="22"/>
                <w:lang w:val="lv-LV"/>
              </w:rPr>
              <w:t>Nepieciešams papildus uzstādīt 110kV strāvmaiņus.</w:t>
            </w:r>
          </w:p>
          <w:p w14:paraId="6FE2DAB9" w14:textId="043DD19E" w:rsidR="00483333" w:rsidRPr="00483333" w:rsidRDefault="00483333" w:rsidP="00FE5371">
            <w:pPr>
              <w:pStyle w:val="Default"/>
              <w:ind w:firstLine="136"/>
              <w:jc w:val="both"/>
              <w:rPr>
                <w:rFonts w:ascii="Arial" w:hAnsi="Arial" w:cs="Arial"/>
                <w:color w:val="auto"/>
                <w:sz w:val="22"/>
                <w:szCs w:val="22"/>
                <w:lang w:val="lv-LV"/>
              </w:rPr>
            </w:pPr>
            <w:r w:rsidRPr="00483333">
              <w:rPr>
                <w:rFonts w:ascii="Arial" w:hAnsi="Arial" w:cs="Arial"/>
                <w:color w:val="auto"/>
                <w:sz w:val="22"/>
                <w:szCs w:val="22"/>
                <w:lang w:val="lv-LV"/>
              </w:rPr>
              <w:t>Sarunu procedūras nolikums tiek papildināts ar Tehnisko specifikāciju un prasībām attiecībā uz 110kV strāvmaiņiem (skat.</w:t>
            </w:r>
            <w:r w:rsidR="00FC3637">
              <w:rPr>
                <w:rFonts w:ascii="Arial" w:hAnsi="Arial" w:cs="Arial"/>
                <w:color w:val="auto"/>
                <w:sz w:val="22"/>
                <w:szCs w:val="22"/>
                <w:lang w:val="lv-LV"/>
              </w:rPr>
              <w:t xml:space="preserve"> </w:t>
            </w:r>
            <w:r w:rsidRPr="00483333">
              <w:rPr>
                <w:rFonts w:ascii="Arial" w:hAnsi="Arial" w:cs="Arial"/>
                <w:color w:val="auto"/>
                <w:sz w:val="22"/>
                <w:szCs w:val="22"/>
                <w:lang w:val="lv-LV"/>
              </w:rPr>
              <w:t>sarunu procedūras nolikumam Grozījumus Nr.1).</w:t>
            </w:r>
          </w:p>
        </w:tc>
      </w:tr>
      <w:tr w:rsidR="00483333" w:rsidRPr="007F0C92" w14:paraId="1B8E8C33" w14:textId="77777777" w:rsidTr="00FC3637">
        <w:tc>
          <w:tcPr>
            <w:tcW w:w="421" w:type="dxa"/>
          </w:tcPr>
          <w:p w14:paraId="7A9E78A8" w14:textId="77777777" w:rsidR="00483333" w:rsidRPr="00C84F77" w:rsidRDefault="00483333" w:rsidP="00FE5371">
            <w:pPr>
              <w:autoSpaceDE w:val="0"/>
              <w:autoSpaceDN w:val="0"/>
              <w:adjustRightInd w:val="0"/>
              <w:rPr>
                <w:rFonts w:ascii="Arial" w:eastAsiaTheme="minorHAnsi" w:hAnsi="Arial" w:cs="Arial"/>
                <w:color w:val="000000"/>
                <w:sz w:val="22"/>
                <w:szCs w:val="22"/>
                <w:lang w:val="lv-LV" w:eastAsia="en-US" w:bidi="lo-LA"/>
              </w:rPr>
            </w:pPr>
            <w:r w:rsidRPr="00C84F77">
              <w:rPr>
                <w:rFonts w:ascii="Arial" w:eastAsiaTheme="minorHAnsi" w:hAnsi="Arial" w:cs="Arial"/>
                <w:color w:val="000000"/>
                <w:sz w:val="22"/>
                <w:szCs w:val="22"/>
                <w:lang w:val="lv-LV" w:eastAsia="en-US" w:bidi="lo-LA"/>
              </w:rPr>
              <w:t>4.</w:t>
            </w:r>
          </w:p>
        </w:tc>
        <w:tc>
          <w:tcPr>
            <w:tcW w:w="5108" w:type="dxa"/>
          </w:tcPr>
          <w:p w14:paraId="2C87AE75" w14:textId="444FCA90" w:rsidR="00483333" w:rsidRPr="00483333" w:rsidRDefault="00483333" w:rsidP="00FE5371">
            <w:pPr>
              <w:jc w:val="both"/>
              <w:rPr>
                <w:rFonts w:ascii="Arial" w:hAnsi="Arial" w:cs="Arial"/>
                <w:sz w:val="22"/>
                <w:szCs w:val="22"/>
                <w:lang w:val="lv-LV" w:bidi="lo-LA"/>
              </w:rPr>
            </w:pPr>
            <w:r w:rsidRPr="00483333">
              <w:rPr>
                <w:rFonts w:ascii="Arial" w:hAnsi="Arial" w:cs="Arial"/>
                <w:sz w:val="22"/>
                <w:szCs w:val="22"/>
                <w:lang w:val="lv-LV"/>
              </w:rPr>
              <w:t xml:space="preserve">Izskatot LDz sarunu procedūru 110 kV sprieguma jaudas slēdžu uzstādīšanu “Vilces </w:t>
            </w:r>
            <w:proofErr w:type="spellStart"/>
            <w:r w:rsidRPr="00483333">
              <w:rPr>
                <w:rFonts w:ascii="Arial" w:hAnsi="Arial" w:cs="Arial"/>
                <w:sz w:val="22"/>
                <w:szCs w:val="22"/>
                <w:lang w:val="lv-LV"/>
              </w:rPr>
              <w:t>apakšstaciijā</w:t>
            </w:r>
            <w:proofErr w:type="spellEnd"/>
            <w:r w:rsidRPr="00483333">
              <w:rPr>
                <w:rFonts w:ascii="Arial" w:hAnsi="Arial" w:cs="Arial"/>
                <w:sz w:val="22"/>
                <w:szCs w:val="22"/>
                <w:lang w:val="lv-LV"/>
              </w:rPr>
              <w:t xml:space="preserve"> ‘’Saulkrasti” (EPEV-10) </w:t>
            </w:r>
          </w:p>
          <w:p w14:paraId="6C3C87DB" w14:textId="77777777" w:rsidR="00483333" w:rsidRPr="00483333" w:rsidRDefault="00483333" w:rsidP="00FE5371">
            <w:pPr>
              <w:jc w:val="both"/>
              <w:rPr>
                <w:rFonts w:ascii="Arial" w:hAnsi="Arial" w:cs="Arial"/>
                <w:sz w:val="22"/>
                <w:szCs w:val="22"/>
                <w:lang w:val="lv-LV"/>
              </w:rPr>
            </w:pPr>
            <w:r w:rsidRPr="00483333">
              <w:rPr>
                <w:rFonts w:ascii="Arial" w:hAnsi="Arial" w:cs="Arial"/>
                <w:sz w:val="22"/>
                <w:szCs w:val="22"/>
                <w:lang w:val="lv-LV"/>
              </w:rPr>
              <w:t>Galvenie izbūves darbi, radās jautājums par galvenajiem izbūves darbiem.</w:t>
            </w:r>
          </w:p>
          <w:p w14:paraId="6934D617" w14:textId="77777777" w:rsidR="00483333" w:rsidRPr="00483333" w:rsidRDefault="00483333" w:rsidP="00FE5371">
            <w:pPr>
              <w:jc w:val="both"/>
              <w:rPr>
                <w:rFonts w:ascii="Arial" w:hAnsi="Arial" w:cs="Arial"/>
                <w:sz w:val="22"/>
                <w:szCs w:val="22"/>
                <w:lang w:val="lv-LV"/>
              </w:rPr>
            </w:pPr>
          </w:p>
          <w:p w14:paraId="2B06222C" w14:textId="34270A5B" w:rsidR="00483333" w:rsidRPr="00483333" w:rsidRDefault="007F0C92" w:rsidP="00FE5371">
            <w:pPr>
              <w:jc w:val="both"/>
              <w:rPr>
                <w:rFonts w:ascii="Arial" w:hAnsi="Arial" w:cs="Arial"/>
                <w:sz w:val="22"/>
                <w:szCs w:val="22"/>
                <w:lang w:val="lv-LV" w:bidi="lo-LA"/>
              </w:rPr>
            </w:pPr>
            <w:r>
              <w:rPr>
                <w:rFonts w:ascii="Arial" w:hAnsi="Arial" w:cs="Arial"/>
                <w:sz w:val="22"/>
                <w:szCs w:val="22"/>
                <w:lang w:val="lv-LV"/>
              </w:rPr>
              <w:t>“</w:t>
            </w:r>
            <w:r w:rsidR="00483333" w:rsidRPr="00483333">
              <w:rPr>
                <w:rFonts w:ascii="Arial" w:hAnsi="Arial" w:cs="Arial"/>
                <w:sz w:val="22"/>
                <w:szCs w:val="22"/>
                <w:lang w:val="lv-LV"/>
              </w:rPr>
              <w:t>2.1.1.Veikt esošo jaudas slēdžu un to konstrukciju demontāžu un utilizāciju.</w:t>
            </w:r>
            <w:r>
              <w:rPr>
                <w:rFonts w:ascii="Arial" w:hAnsi="Arial" w:cs="Arial"/>
                <w:sz w:val="22"/>
                <w:szCs w:val="22"/>
                <w:lang w:val="lv-LV"/>
              </w:rPr>
              <w:t>”</w:t>
            </w:r>
          </w:p>
          <w:p w14:paraId="2559C874" w14:textId="77777777" w:rsidR="00483333" w:rsidRPr="00483333" w:rsidRDefault="00483333" w:rsidP="00FE5371">
            <w:pPr>
              <w:jc w:val="both"/>
              <w:rPr>
                <w:rFonts w:ascii="Arial" w:hAnsi="Arial" w:cs="Arial"/>
                <w:sz w:val="22"/>
                <w:szCs w:val="22"/>
                <w:lang w:val="lv-LV"/>
              </w:rPr>
            </w:pPr>
            <w:r w:rsidRPr="00483333">
              <w:rPr>
                <w:rFonts w:ascii="Arial" w:hAnsi="Arial" w:cs="Arial"/>
                <w:sz w:val="22"/>
                <w:szCs w:val="22"/>
                <w:lang w:val="lv-LV"/>
              </w:rPr>
              <w:t>Lūdzam sniegt informāciju par jaudas slēdžiem (svars , eļļas daudzums). Kādi dokumenti jāiesniedz par utilizāciju?</w:t>
            </w:r>
          </w:p>
          <w:p w14:paraId="006BD526" w14:textId="77777777" w:rsidR="00483333" w:rsidRPr="00483333" w:rsidRDefault="00483333" w:rsidP="00FE5371">
            <w:pPr>
              <w:pStyle w:val="Default"/>
              <w:jc w:val="both"/>
              <w:rPr>
                <w:rFonts w:ascii="Arial" w:hAnsi="Arial" w:cs="Arial"/>
                <w:sz w:val="22"/>
                <w:szCs w:val="22"/>
                <w:lang w:val="lv-LV"/>
              </w:rPr>
            </w:pPr>
          </w:p>
        </w:tc>
        <w:tc>
          <w:tcPr>
            <w:tcW w:w="4404" w:type="dxa"/>
          </w:tcPr>
          <w:p w14:paraId="43DCBF76" w14:textId="77777777" w:rsidR="00483333" w:rsidRPr="00483333" w:rsidRDefault="00483333" w:rsidP="00FE5371">
            <w:pPr>
              <w:rPr>
                <w:rFonts w:ascii="Arial" w:hAnsi="Arial" w:cs="Arial"/>
                <w:sz w:val="22"/>
                <w:szCs w:val="22"/>
                <w:lang w:val="lv-LV"/>
              </w:rPr>
            </w:pPr>
            <w:r w:rsidRPr="00483333">
              <w:rPr>
                <w:rFonts w:ascii="Arial" w:hAnsi="Arial" w:cs="Arial"/>
                <w:sz w:val="22"/>
                <w:szCs w:val="22"/>
                <w:lang w:val="lv-LV"/>
              </w:rPr>
              <w:t>Esošais viens 110kV jaudas slēdzis МКП 110 ar piedziņu ШПЭ-33 pēc pases:</w:t>
            </w:r>
          </w:p>
          <w:p w14:paraId="06A9F59A" w14:textId="77777777" w:rsidR="00483333" w:rsidRPr="00483333" w:rsidRDefault="00483333" w:rsidP="00483333">
            <w:pPr>
              <w:pStyle w:val="ListParagraph"/>
              <w:numPr>
                <w:ilvl w:val="0"/>
                <w:numId w:val="1"/>
              </w:numPr>
              <w:rPr>
                <w:rFonts w:ascii="Arial" w:hAnsi="Arial" w:cs="Arial"/>
              </w:rPr>
            </w:pPr>
            <w:r w:rsidRPr="00483333">
              <w:rPr>
                <w:rFonts w:ascii="Arial" w:hAnsi="Arial" w:cs="Arial"/>
              </w:rPr>
              <w:t>Svars 8905 kg (bez eļļas;)</w:t>
            </w:r>
          </w:p>
          <w:p w14:paraId="413FCAD2" w14:textId="77777777" w:rsidR="00483333" w:rsidRPr="00483333" w:rsidRDefault="00483333" w:rsidP="00483333">
            <w:pPr>
              <w:pStyle w:val="ListParagraph"/>
              <w:numPr>
                <w:ilvl w:val="0"/>
                <w:numId w:val="1"/>
              </w:numPr>
              <w:rPr>
                <w:rFonts w:ascii="Arial" w:hAnsi="Arial" w:cs="Arial"/>
              </w:rPr>
            </w:pPr>
            <w:r w:rsidRPr="00483333">
              <w:rPr>
                <w:rFonts w:ascii="Arial" w:hAnsi="Arial" w:cs="Arial"/>
              </w:rPr>
              <w:t>Eļļas svars 8000 kg.</w:t>
            </w:r>
          </w:p>
          <w:p w14:paraId="4754A4C5" w14:textId="529F44CF" w:rsidR="00483333" w:rsidRDefault="00483333" w:rsidP="00FE5371">
            <w:pPr>
              <w:jc w:val="both"/>
              <w:rPr>
                <w:rFonts w:ascii="Arial" w:hAnsi="Arial" w:cs="Arial"/>
                <w:sz w:val="22"/>
                <w:szCs w:val="22"/>
                <w:lang w:val="lv-LV"/>
              </w:rPr>
            </w:pPr>
            <w:r w:rsidRPr="00483333">
              <w:rPr>
                <w:rFonts w:ascii="Arial" w:hAnsi="Arial" w:cs="Arial"/>
                <w:sz w:val="22"/>
                <w:szCs w:val="22"/>
                <w:lang w:val="lv-LV"/>
              </w:rPr>
              <w:t>Par utilizāciju jāsastāda pieņemšanas – nodošanas akts, saskaņa ar kuru Pasūtītājs nodod, bet Uzņēmējs pieņem jaudas slēdžus un eļļu utilizācijai.</w:t>
            </w:r>
          </w:p>
          <w:p w14:paraId="1541E22D" w14:textId="2C3F04FB" w:rsidR="00483333" w:rsidRPr="00483333" w:rsidRDefault="00483333" w:rsidP="00FE5371">
            <w:pPr>
              <w:ind w:firstLine="181"/>
              <w:jc w:val="both"/>
              <w:rPr>
                <w:rFonts w:ascii="Arial" w:hAnsi="Arial" w:cs="Arial"/>
                <w:sz w:val="22"/>
                <w:szCs w:val="22"/>
                <w:lang w:val="lv-LV"/>
              </w:rPr>
            </w:pPr>
            <w:r w:rsidRPr="00483333">
              <w:rPr>
                <w:rFonts w:ascii="Arial" w:hAnsi="Arial" w:cs="Arial"/>
                <w:sz w:val="22"/>
                <w:szCs w:val="22"/>
                <w:lang w:val="lv-LV"/>
              </w:rPr>
              <w:t>Sarunu procedūras nolikuma 1.pielikuma (Tehniskais uzdevums) 2.1.1.punkts tiek papildināts (skat.</w:t>
            </w:r>
            <w:r w:rsidR="00FC3637">
              <w:rPr>
                <w:rFonts w:ascii="Arial" w:hAnsi="Arial" w:cs="Arial"/>
                <w:sz w:val="22"/>
                <w:szCs w:val="22"/>
                <w:lang w:val="lv-LV"/>
              </w:rPr>
              <w:t xml:space="preserve"> </w:t>
            </w:r>
            <w:r w:rsidRPr="00483333">
              <w:rPr>
                <w:rFonts w:ascii="Arial" w:hAnsi="Arial" w:cs="Arial"/>
                <w:sz w:val="22"/>
                <w:szCs w:val="22"/>
                <w:lang w:val="lv-LV"/>
              </w:rPr>
              <w:t>sarunu procedūras nolikumam Grozījumus Nr.1)</w:t>
            </w:r>
          </w:p>
        </w:tc>
      </w:tr>
    </w:tbl>
    <w:p w14:paraId="29601B41" w14:textId="77777777" w:rsidR="00015F0A" w:rsidRPr="003947E4" w:rsidRDefault="00015F0A">
      <w:pPr>
        <w:rPr>
          <w:lang w:val="lv-LV"/>
        </w:rPr>
      </w:pPr>
    </w:p>
    <w:sectPr w:rsidR="00015F0A" w:rsidRPr="003947E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2C19EE" w14:textId="77777777" w:rsidR="00D16E23" w:rsidRDefault="00D16E23" w:rsidP="007F0C92">
      <w:r>
        <w:separator/>
      </w:r>
    </w:p>
  </w:endnote>
  <w:endnote w:type="continuationSeparator" w:id="0">
    <w:p w14:paraId="4A90913C" w14:textId="77777777" w:rsidR="00D16E23" w:rsidRDefault="00D16E23" w:rsidP="007F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DokChampa">
    <w:panose1 w:val="020B0604020202020204"/>
    <w:charset w:val="00"/>
    <w:family w:val="swiss"/>
    <w:pitch w:val="variable"/>
    <w:sig w:usb0="03000003" w:usb1="00000000" w:usb2="00000000" w:usb3="00000000" w:csb0="00010001"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AA22C" w14:textId="77777777" w:rsidR="00D16E23" w:rsidRDefault="00D16E23" w:rsidP="007F0C92">
      <w:r>
        <w:separator/>
      </w:r>
    </w:p>
  </w:footnote>
  <w:footnote w:type="continuationSeparator" w:id="0">
    <w:p w14:paraId="171DF9D2" w14:textId="77777777" w:rsidR="00D16E23" w:rsidRDefault="00D16E23" w:rsidP="007F0C92">
      <w:r>
        <w:continuationSeparator/>
      </w:r>
    </w:p>
  </w:footnote>
  <w:footnote w:id="1">
    <w:p w14:paraId="0944A9B8" w14:textId="6D3944C2" w:rsidR="007F0C92" w:rsidRPr="007F0C92" w:rsidRDefault="007F0C92">
      <w:pPr>
        <w:pStyle w:val="FootnoteText"/>
        <w:rPr>
          <w:rFonts w:ascii="Arial" w:hAnsi="Arial" w:cs="Arial"/>
          <w:lang w:val="lv-LV"/>
        </w:rPr>
      </w:pPr>
      <w:r w:rsidRPr="007F0C92">
        <w:rPr>
          <w:rStyle w:val="FootnoteReference"/>
          <w:rFonts w:ascii="Arial" w:hAnsi="Arial" w:cs="Arial"/>
        </w:rPr>
        <w:footnoteRef/>
      </w:r>
      <w:r>
        <w:rPr>
          <w:rFonts w:ascii="Arial" w:hAnsi="Arial" w:cs="Arial"/>
        </w:rPr>
        <w:t xml:space="preserve"> </w:t>
      </w:r>
      <w:r w:rsidRPr="007F0C92">
        <w:rPr>
          <w:rFonts w:ascii="Arial" w:hAnsi="Arial" w:cs="Arial"/>
          <w:lang w:val="lv-LV"/>
        </w:rPr>
        <w:t>Informācija par ieinteresēto piegādātāju, kas uzdevis jautājumu, netiek publiskota.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E369F"/>
    <w:multiLevelType w:val="hybridMultilevel"/>
    <w:tmpl w:val="79BC940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F0A"/>
    <w:rsid w:val="00015F0A"/>
    <w:rsid w:val="00046DDB"/>
    <w:rsid w:val="0021184E"/>
    <w:rsid w:val="002A6A63"/>
    <w:rsid w:val="003156F9"/>
    <w:rsid w:val="003947E4"/>
    <w:rsid w:val="00420FE5"/>
    <w:rsid w:val="00483333"/>
    <w:rsid w:val="007F0C92"/>
    <w:rsid w:val="00955F08"/>
    <w:rsid w:val="00A95845"/>
    <w:rsid w:val="00C84F77"/>
    <w:rsid w:val="00D16E23"/>
    <w:rsid w:val="00D45B3B"/>
    <w:rsid w:val="00D85B47"/>
    <w:rsid w:val="00FC3637"/>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96C8E"/>
  <w15:chartTrackingRefBased/>
  <w15:docId w15:val="{D98F6985-0693-4A42-B593-F35C63B8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lo-L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0FE5"/>
    <w:pPr>
      <w:spacing w:after="0" w:line="240" w:lineRule="auto"/>
    </w:pPr>
    <w:rPr>
      <w:rFonts w:ascii="Times New Roman" w:eastAsia="Times New Roman" w:hAnsi="Times New Roman" w:cs="Times New Roman"/>
      <w:sz w:val="20"/>
      <w:szCs w:val="20"/>
      <w:lang w:val="en-US" w:eastAsia="lv-LV"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0FE5"/>
    <w:pPr>
      <w:autoSpaceDE w:val="0"/>
      <w:autoSpaceDN w:val="0"/>
      <w:adjustRightInd w:val="0"/>
      <w:spacing w:after="0" w:line="240" w:lineRule="auto"/>
    </w:pPr>
    <w:rPr>
      <w:rFonts w:ascii="Times New Roman" w:hAnsi="Times New Roman" w:cs="Times New Roman"/>
      <w:color w:val="000000"/>
      <w:sz w:val="24"/>
      <w:szCs w:val="24"/>
      <w:lang w:val="en-US" w:bidi="ar-SA"/>
    </w:rPr>
  </w:style>
  <w:style w:type="table" w:styleId="TableGrid">
    <w:name w:val="Table Grid"/>
    <w:aliases w:val="CV table"/>
    <w:basedOn w:val="TableNormal"/>
    <w:uiPriority w:val="39"/>
    <w:rsid w:val="00420FE5"/>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18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84E"/>
    <w:rPr>
      <w:rFonts w:ascii="Segoe UI" w:eastAsia="Times New Roman" w:hAnsi="Segoe UI" w:cs="Segoe UI"/>
      <w:sz w:val="18"/>
      <w:szCs w:val="18"/>
      <w:lang w:val="en-US" w:eastAsia="lv-LV" w:bidi="ar-SA"/>
    </w:rPr>
  </w:style>
  <w:style w:type="paragraph" w:styleId="ListParagraph">
    <w:name w:val="List Paragraph"/>
    <w:aliases w:val="H&amp;P List Paragraph,2,Strip,Normal bullet 2,Bullet list,Syle 1,Saistīto dokumentu saraksts,PPS_Bullet,List Paragraph1,Numurets,Virsraksti,Saraksta rindkopa,Bullets,Numbered List,Paragraph,Bullet point 1,1st level - Bullet List Paragraph"/>
    <w:basedOn w:val="Normal"/>
    <w:link w:val="ListParagraphChar"/>
    <w:uiPriority w:val="34"/>
    <w:qFormat/>
    <w:rsid w:val="00046DDB"/>
    <w:pPr>
      <w:ind w:left="720"/>
    </w:pPr>
    <w:rPr>
      <w:rFonts w:ascii="Calibri" w:eastAsiaTheme="minorHAnsi" w:hAnsi="Calibri" w:cs="Calibri"/>
      <w:sz w:val="22"/>
      <w:szCs w:val="22"/>
      <w:lang w:val="lv-LV" w:eastAsia="en-US"/>
    </w:rPr>
  </w:style>
  <w:style w:type="character" w:styleId="CommentReference">
    <w:name w:val="annotation reference"/>
    <w:basedOn w:val="DefaultParagraphFont"/>
    <w:uiPriority w:val="99"/>
    <w:semiHidden/>
    <w:unhideWhenUsed/>
    <w:rsid w:val="00046DDB"/>
    <w:rPr>
      <w:sz w:val="16"/>
      <w:szCs w:val="16"/>
    </w:rPr>
  </w:style>
  <w:style w:type="paragraph" w:styleId="CommentText">
    <w:name w:val="annotation text"/>
    <w:basedOn w:val="Normal"/>
    <w:link w:val="CommentTextChar"/>
    <w:uiPriority w:val="99"/>
    <w:semiHidden/>
    <w:unhideWhenUsed/>
    <w:rsid w:val="00046DDB"/>
  </w:style>
  <w:style w:type="character" w:customStyle="1" w:styleId="CommentTextChar">
    <w:name w:val="Comment Text Char"/>
    <w:basedOn w:val="DefaultParagraphFont"/>
    <w:link w:val="CommentText"/>
    <w:uiPriority w:val="99"/>
    <w:semiHidden/>
    <w:rsid w:val="00046DDB"/>
    <w:rPr>
      <w:rFonts w:ascii="Times New Roman" w:eastAsia="Times New Roman" w:hAnsi="Times New Roman" w:cs="Times New Roman"/>
      <w:sz w:val="20"/>
      <w:szCs w:val="20"/>
      <w:lang w:val="en-US" w:eastAsia="lv-LV" w:bidi="ar-SA"/>
    </w:rPr>
  </w:style>
  <w:style w:type="paragraph" w:styleId="CommentSubject">
    <w:name w:val="annotation subject"/>
    <w:basedOn w:val="CommentText"/>
    <w:next w:val="CommentText"/>
    <w:link w:val="CommentSubjectChar"/>
    <w:uiPriority w:val="99"/>
    <w:semiHidden/>
    <w:unhideWhenUsed/>
    <w:rsid w:val="00046DDB"/>
    <w:rPr>
      <w:b/>
      <w:bCs/>
    </w:rPr>
  </w:style>
  <w:style w:type="character" w:customStyle="1" w:styleId="CommentSubjectChar">
    <w:name w:val="Comment Subject Char"/>
    <w:basedOn w:val="CommentTextChar"/>
    <w:link w:val="CommentSubject"/>
    <w:uiPriority w:val="99"/>
    <w:semiHidden/>
    <w:rsid w:val="00046DDB"/>
    <w:rPr>
      <w:rFonts w:ascii="Times New Roman" w:eastAsia="Times New Roman" w:hAnsi="Times New Roman" w:cs="Times New Roman"/>
      <w:b/>
      <w:bCs/>
      <w:sz w:val="20"/>
      <w:szCs w:val="20"/>
      <w:lang w:val="en-US" w:eastAsia="lv-LV" w:bidi="ar-SA"/>
    </w:rPr>
  </w:style>
  <w:style w:type="character" w:customStyle="1" w:styleId="ListParagraphChar">
    <w:name w:val="List Paragraph Char"/>
    <w:aliases w:val="H&amp;P List Paragraph Char,2 Char,Strip Char,Normal bullet 2 Char,Bullet list Char,Syle 1 Char,Saistīto dokumentu saraksts Char,PPS_Bullet Char,List Paragraph1 Char,Numurets Char,Virsraksti Char,Saraksta rindkopa Char,Bullets Char"/>
    <w:link w:val="ListParagraph"/>
    <w:uiPriority w:val="34"/>
    <w:qFormat/>
    <w:locked/>
    <w:rsid w:val="00483333"/>
    <w:rPr>
      <w:rFonts w:ascii="Calibri" w:hAnsi="Calibri" w:cs="Calibri"/>
      <w:lang w:bidi="ar-SA"/>
    </w:rPr>
  </w:style>
  <w:style w:type="paragraph" w:styleId="FootnoteText">
    <w:name w:val="footnote text"/>
    <w:basedOn w:val="Normal"/>
    <w:link w:val="FootnoteTextChar"/>
    <w:uiPriority w:val="99"/>
    <w:semiHidden/>
    <w:unhideWhenUsed/>
    <w:rsid w:val="007F0C92"/>
  </w:style>
  <w:style w:type="character" w:customStyle="1" w:styleId="FootnoteTextChar">
    <w:name w:val="Footnote Text Char"/>
    <w:basedOn w:val="DefaultParagraphFont"/>
    <w:link w:val="FootnoteText"/>
    <w:uiPriority w:val="99"/>
    <w:semiHidden/>
    <w:rsid w:val="007F0C92"/>
    <w:rPr>
      <w:rFonts w:ascii="Times New Roman" w:eastAsia="Times New Roman" w:hAnsi="Times New Roman" w:cs="Times New Roman"/>
      <w:sz w:val="20"/>
      <w:szCs w:val="20"/>
      <w:lang w:val="en-US" w:eastAsia="lv-LV" w:bidi="ar-SA"/>
    </w:rPr>
  </w:style>
  <w:style w:type="character" w:styleId="FootnoteReference">
    <w:name w:val="footnote reference"/>
    <w:basedOn w:val="DefaultParagraphFont"/>
    <w:uiPriority w:val="99"/>
    <w:semiHidden/>
    <w:unhideWhenUsed/>
    <w:rsid w:val="007F0C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173993">
      <w:bodyDiv w:val="1"/>
      <w:marLeft w:val="0"/>
      <w:marRight w:val="0"/>
      <w:marTop w:val="0"/>
      <w:marBottom w:val="0"/>
      <w:divBdr>
        <w:top w:val="none" w:sz="0" w:space="0" w:color="auto"/>
        <w:left w:val="none" w:sz="0" w:space="0" w:color="auto"/>
        <w:bottom w:val="none" w:sz="0" w:space="0" w:color="auto"/>
        <w:right w:val="none" w:sz="0" w:space="0" w:color="auto"/>
      </w:divBdr>
    </w:div>
    <w:div w:id="129028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A11F9-1517-42FF-AA0A-A4C3F6F4F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1931</Words>
  <Characters>1101</Characters>
  <Application>Microsoft Office Word</Application>
  <DocSecurity>0</DocSecurity>
  <Lines>9</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Dementjeva</dc:creator>
  <cp:keywords/>
  <dc:description/>
  <cp:lastModifiedBy>Iveta Dementjeva</cp:lastModifiedBy>
  <cp:revision>5</cp:revision>
  <dcterms:created xsi:type="dcterms:W3CDTF">2021-04-09T12:07:00Z</dcterms:created>
  <dcterms:modified xsi:type="dcterms:W3CDTF">2021-04-09T13:13:00Z</dcterms:modified>
</cp:coreProperties>
</file>