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573D85F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77F83" w:rsidRPr="005817F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5817F3" w:rsidRPr="005817F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DB72B7" w:rsidRPr="005817F3">
        <w:rPr>
          <w:rFonts w:ascii="Times New Roman" w:eastAsia="Arial Unicode MS" w:hAnsi="Times New Roman" w:cs="Times New Roman"/>
          <w:i/>
          <w:sz w:val="24"/>
          <w:szCs w:val="24"/>
        </w:rPr>
        <w:t>februāra</w:t>
      </w:r>
    </w:p>
    <w:p w14:paraId="6AF574B6" w14:textId="28ED88A1" w:rsidR="001A3CAD" w:rsidRPr="0014327C" w:rsidRDefault="003F6B08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49212FAC" w14:textId="77777777" w:rsidR="00DB72B7" w:rsidRPr="00DB72B7" w:rsidRDefault="002A2ACD" w:rsidP="00DB72B7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DB72B7" w:rsidRPr="00DB72B7">
        <w:rPr>
          <w:b/>
          <w:sz w:val="24"/>
          <w:szCs w:val="24"/>
        </w:rPr>
        <w:t>Krāšņu kurināmās marķētās dīzeļdegvielas</w:t>
      </w:r>
    </w:p>
    <w:p w14:paraId="52E1C71A" w14:textId="192EC469" w:rsidR="00C95F31" w:rsidRDefault="00DB72B7" w:rsidP="00DB72B7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piegāde SIA "LDZ ritošā sastāva serviss" vajadzībām</w:t>
      </w:r>
      <w:r w:rsidR="002A2ACD" w:rsidRPr="0014327C">
        <w:rPr>
          <w:b/>
          <w:sz w:val="24"/>
          <w:szCs w:val="24"/>
        </w:rPr>
        <w:t>”</w:t>
      </w:r>
      <w:bookmarkEnd w:id="1"/>
    </w:p>
    <w:p w14:paraId="66FB6A5E" w14:textId="3C7DA2B3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2022/30-SPA)</w:t>
      </w:r>
    </w:p>
    <w:p w14:paraId="7AE3D075" w14:textId="2C58F741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3F6B08">
        <w:rPr>
          <w:rFonts w:ascii="Times New Roman" w:hAnsi="Times New Roman" w:cs="Times New Roman"/>
          <w:b/>
          <w:sz w:val="24"/>
          <w:szCs w:val="24"/>
        </w:rPr>
        <w:t>1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605" w:type="dxa"/>
        <w:jc w:val="center"/>
        <w:tblLook w:val="04A0" w:firstRow="1" w:lastRow="0" w:firstColumn="1" w:lastColumn="0" w:noHBand="0" w:noVBand="1"/>
      </w:tblPr>
      <w:tblGrid>
        <w:gridCol w:w="890"/>
        <w:gridCol w:w="9878"/>
        <w:gridCol w:w="3837"/>
      </w:tblGrid>
      <w:tr w:rsidR="00883223" w:rsidRPr="00DB2F93" w14:paraId="69F3C653" w14:textId="77777777" w:rsidTr="00906878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9878" w:type="dxa"/>
            <w:shd w:val="clear" w:color="auto" w:fill="FFF2CC" w:themeFill="accent4" w:themeFillTint="33"/>
          </w:tcPr>
          <w:p w14:paraId="59485BCF" w14:textId="7A0D1C6E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i</w:t>
            </w:r>
          </w:p>
        </w:tc>
        <w:tc>
          <w:tcPr>
            <w:tcW w:w="3837" w:type="dxa"/>
            <w:shd w:val="clear" w:color="auto" w:fill="FFF2CC" w:themeFill="accent4" w:themeFillTint="33"/>
          </w:tcPr>
          <w:p w14:paraId="47F70125" w14:textId="44A7E7F3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</w:tr>
      <w:tr w:rsidR="00A8350E" w:rsidRPr="00DB2F93" w14:paraId="4595B810" w14:textId="77777777" w:rsidTr="00906878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9878" w:type="dxa"/>
            <w:shd w:val="clear" w:color="auto" w:fill="FFF2CC" w:themeFill="accent4" w:themeFillTint="33"/>
          </w:tcPr>
          <w:p w14:paraId="4C990A7F" w14:textId="5040BFFB" w:rsidR="00A8350E" w:rsidRPr="0014327C" w:rsidRDefault="003F6B08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577F8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516A16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57A94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 xml:space="preserve"> un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 xml:space="preserve"> 10.02.2022</w:t>
            </w:r>
            <w:r w:rsidR="00516A16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  <w:tc>
          <w:tcPr>
            <w:tcW w:w="3837" w:type="dxa"/>
            <w:shd w:val="clear" w:color="auto" w:fill="FFF2CC" w:themeFill="accent4" w:themeFillTint="33"/>
          </w:tcPr>
          <w:p w14:paraId="263475BE" w14:textId="7596AAB3" w:rsidR="00A8350E" w:rsidRPr="0014327C" w:rsidRDefault="00577F8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5817F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906878">
        <w:trPr>
          <w:trHeight w:val="835"/>
          <w:jc w:val="center"/>
        </w:trPr>
        <w:tc>
          <w:tcPr>
            <w:tcW w:w="890" w:type="dxa"/>
            <w:shd w:val="clear" w:color="auto" w:fill="auto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9878" w:type="dxa"/>
            <w:shd w:val="clear" w:color="auto" w:fill="auto"/>
          </w:tcPr>
          <w:p w14:paraId="7D872883" w14:textId="77777777" w:rsidR="00DB72B7" w:rsidRPr="00DB72B7" w:rsidRDefault="00DB72B7" w:rsidP="00DB72B7">
            <w:pPr>
              <w:rPr>
                <w:rFonts w:ascii="Times New Roman" w:hAnsi="Times New Roman" w:cs="Times New Roman"/>
              </w:rPr>
            </w:pPr>
            <w:r w:rsidRPr="00DB72B7">
              <w:rPr>
                <w:rFonts w:ascii="Times New Roman" w:hAnsi="Times New Roman" w:cs="Times New Roman"/>
              </w:rPr>
              <w:t>Tik liela apjoma daudzumam ir atvēlētas tikai 8 dienas sagatavot piedāvājumu, kurā arī ir paredzēts nodrošinājums.</w:t>
            </w:r>
          </w:p>
          <w:p w14:paraId="545CF970" w14:textId="452A3674" w:rsidR="00577F83" w:rsidRPr="00577F83" w:rsidRDefault="00DB72B7" w:rsidP="00DB72B7">
            <w:pPr>
              <w:rPr>
                <w:rFonts w:ascii="Times New Roman" w:hAnsi="Times New Roman" w:cs="Times New Roman"/>
              </w:rPr>
            </w:pPr>
            <w:r w:rsidRPr="00DB72B7">
              <w:rPr>
                <w:rFonts w:ascii="Times New Roman" w:hAnsi="Times New Roman" w:cs="Times New Roman"/>
              </w:rPr>
              <w:t>Tagad daudzi slimo, lūdzu, iespēju pagarināt termiņu vēl uz nedēļu, lai varam to izdarīt.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DDA18BB" w14:textId="0E32C1EE" w:rsidR="00577F83" w:rsidRPr="008A10E0" w:rsidRDefault="00D57A94" w:rsidP="00D57A94">
            <w:pPr>
              <w:jc w:val="center"/>
              <w:rPr>
                <w:rFonts w:ascii="Times New Roman" w:hAnsi="Times New Roman" w:cs="Times New Roman"/>
              </w:rPr>
            </w:pPr>
            <w:r w:rsidRPr="008A10E0">
              <w:rPr>
                <w:rFonts w:ascii="Times New Roman" w:hAnsi="Times New Roman" w:cs="Times New Roman"/>
                <w:sz w:val="22"/>
              </w:rPr>
              <w:t>Skatīt Grozījumus Nr.1</w:t>
            </w:r>
            <w:r w:rsidR="00813275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883223" w:rsidRPr="00DB2F93" w14:paraId="466E5168" w14:textId="77777777" w:rsidTr="00906878">
        <w:trPr>
          <w:trHeight w:val="835"/>
          <w:jc w:val="center"/>
        </w:trPr>
        <w:tc>
          <w:tcPr>
            <w:tcW w:w="890" w:type="dxa"/>
            <w:shd w:val="clear" w:color="auto" w:fill="auto"/>
          </w:tcPr>
          <w:p w14:paraId="480C4ED8" w14:textId="59FBB063" w:rsidR="0088322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883223" w:rsidRPr="0014327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878" w:type="dxa"/>
            <w:shd w:val="clear" w:color="auto" w:fill="auto"/>
          </w:tcPr>
          <w:p w14:paraId="7292D4A0" w14:textId="415A93F5" w:rsidR="00DB72B7" w:rsidRPr="00906878" w:rsidRDefault="00DB72B7" w:rsidP="00DB72B7">
            <w:pPr>
              <w:ind w:left="-11"/>
              <w:rPr>
                <w:rFonts w:ascii="Times New Roman" w:hAnsi="Times New Roman" w:cs="Times New Roman"/>
                <w:sz w:val="22"/>
              </w:rPr>
            </w:pPr>
            <w:r w:rsidRPr="00906878">
              <w:rPr>
                <w:rFonts w:ascii="Times New Roman" w:hAnsi="Times New Roman" w:cs="Times New Roman"/>
                <w:sz w:val="22"/>
              </w:rPr>
              <w:t>Lūdzu paskaidrot nolikuma 1.10.1. punktu: “1.10.1. Kopā ar piedāvājumu jāiesniedz piedāvājuma</w:t>
            </w:r>
          </w:p>
          <w:p w14:paraId="44EEAB3F" w14:textId="2A8A3E58" w:rsidR="00DB72B7" w:rsidRPr="00906878" w:rsidRDefault="00DB72B7" w:rsidP="00D57A94">
            <w:pPr>
              <w:ind w:left="-11"/>
              <w:rPr>
                <w:rFonts w:ascii="Times New Roman" w:hAnsi="Times New Roman" w:cs="Times New Roman"/>
                <w:sz w:val="22"/>
              </w:rPr>
            </w:pPr>
            <w:r w:rsidRPr="00906878">
              <w:rPr>
                <w:rFonts w:ascii="Times New Roman" w:hAnsi="Times New Roman" w:cs="Times New Roman"/>
                <w:sz w:val="22"/>
              </w:rPr>
              <w:t xml:space="preserve">nodrošinājums par piedāvājuma nodrošinājuma summu 10 000,00 (desmit tūkstoši) EUR </w:t>
            </w:r>
            <w:r w:rsidRPr="00102BE5">
              <w:rPr>
                <w:rFonts w:ascii="Times New Roman" w:hAnsi="Times New Roman" w:cs="Times New Roman"/>
                <w:sz w:val="22"/>
              </w:rPr>
              <w:t>apmērā no piedāvājuma</w:t>
            </w:r>
            <w:r w:rsidR="00D57A94" w:rsidRPr="00102BE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2BE5">
              <w:rPr>
                <w:rFonts w:ascii="Times New Roman" w:hAnsi="Times New Roman" w:cs="Times New Roman"/>
                <w:sz w:val="22"/>
              </w:rPr>
              <w:t>summas uz piedāvājuma iesniegšanas dienu (EUR bez PVN). Piedāvājuma no</w:t>
            </w:r>
            <w:r w:rsidRPr="00906878">
              <w:rPr>
                <w:rFonts w:ascii="Times New Roman" w:hAnsi="Times New Roman" w:cs="Times New Roman"/>
                <w:sz w:val="22"/>
              </w:rPr>
              <w:t>drošinājumu Pretendents iesniedz kā</w:t>
            </w:r>
            <w:r w:rsidR="00D57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6878">
              <w:rPr>
                <w:rFonts w:ascii="Times New Roman" w:hAnsi="Times New Roman" w:cs="Times New Roman"/>
                <w:sz w:val="22"/>
              </w:rPr>
              <w:t>kredītiestādes izsniegtu garantiju (skat. formu Nolikuma 4. pielikumā) vai kā Pretendenta naudas summas iemaksu</w:t>
            </w:r>
            <w:r w:rsidR="00D57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6878">
              <w:rPr>
                <w:rFonts w:ascii="Times New Roman" w:hAnsi="Times New Roman" w:cs="Times New Roman"/>
                <w:sz w:val="22"/>
              </w:rPr>
              <w:t>pircēja bankas kontā: LV26RIKO0000084909460, Luminor Bank AS Latvijas filiāle, SWIFT kods: RIKOLV2X;”</w:t>
            </w:r>
          </w:p>
          <w:p w14:paraId="1B399581" w14:textId="132C66F5" w:rsidR="0020034F" w:rsidRPr="00906878" w:rsidRDefault="00DB72B7" w:rsidP="00DB72B7">
            <w:pPr>
              <w:ind w:left="-1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06878">
              <w:rPr>
                <w:rFonts w:ascii="Times New Roman" w:hAnsi="Times New Roman" w:cs="Times New Roman"/>
                <w:sz w:val="22"/>
              </w:rPr>
              <w:t>10000 EUR no piedāvājuma summas? Kā īsti to saprast, cik ir nodrošinājuma summa ?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B2931F6" w14:textId="21706342" w:rsidR="0082010B" w:rsidRPr="0014327C" w:rsidRDefault="00FB3936" w:rsidP="008A1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3936">
              <w:rPr>
                <w:rFonts w:ascii="Times New Roman" w:hAnsi="Times New Roman" w:cs="Times New Roman"/>
                <w:sz w:val="22"/>
              </w:rPr>
              <w:t>Skatīt Grozījumus Nr.1.</w:t>
            </w:r>
          </w:p>
        </w:tc>
      </w:tr>
      <w:tr w:rsidR="00577F83" w:rsidRPr="00DB2F93" w14:paraId="1C8C25D2" w14:textId="77777777" w:rsidTr="00906878">
        <w:trPr>
          <w:trHeight w:val="607"/>
          <w:jc w:val="center"/>
        </w:trPr>
        <w:tc>
          <w:tcPr>
            <w:tcW w:w="890" w:type="dxa"/>
            <w:shd w:val="clear" w:color="auto" w:fill="auto"/>
          </w:tcPr>
          <w:p w14:paraId="282387F0" w14:textId="58BB884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9878" w:type="dxa"/>
            <w:shd w:val="clear" w:color="auto" w:fill="auto"/>
          </w:tcPr>
          <w:p w14:paraId="7622C326" w14:textId="0F22222E" w:rsidR="00577F83" w:rsidRPr="00906878" w:rsidRDefault="00906878" w:rsidP="00B610FD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Vai nolikuma 3.3.4., 3.3.6. un 3.3.7. punkta prasība ir viens un tas pats – licence ?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C03292E" w14:textId="77777777" w:rsidR="009E3E29" w:rsidRDefault="009E3E29" w:rsidP="0081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3.3.4. – </w:t>
            </w:r>
            <w:r w:rsidRPr="00813275">
              <w:rPr>
                <w:rFonts w:ascii="Times New Roman" w:hAnsi="Times New Roman" w:cs="Times New Roman"/>
                <w:b/>
                <w:bCs/>
              </w:rPr>
              <w:t xml:space="preserve">Ražotāja </w:t>
            </w:r>
            <w:r w:rsidRPr="00813275">
              <w:rPr>
                <w:rFonts w:ascii="Times New Roman" w:hAnsi="Times New Roman" w:cs="Times New Roman"/>
              </w:rPr>
              <w:t>izsniegts dokuments, kas apliecina</w:t>
            </w:r>
            <w:r>
              <w:rPr>
                <w:rFonts w:ascii="Times New Roman" w:hAnsi="Times New Roman" w:cs="Times New Roman"/>
              </w:rPr>
              <w:t xml:space="preserve"> Pretendenta tiesības piegādāt preci;</w:t>
            </w:r>
          </w:p>
          <w:p w14:paraId="254796D4" w14:textId="77777777" w:rsidR="00BE677C" w:rsidRDefault="009E3E29" w:rsidP="0081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3.3.6. – </w:t>
            </w:r>
            <w:r w:rsidRPr="00813275">
              <w:rPr>
                <w:rFonts w:ascii="Times New Roman" w:hAnsi="Times New Roman" w:cs="Times New Roman"/>
              </w:rPr>
              <w:t>licence, kas apliecina Pretendenta tiesības veikt preces</w:t>
            </w:r>
            <w:r w:rsidRPr="00813275">
              <w:rPr>
                <w:rFonts w:ascii="Times New Roman" w:hAnsi="Times New Roman" w:cs="Times New Roman"/>
                <w:b/>
                <w:bCs/>
              </w:rPr>
              <w:t xml:space="preserve"> tirdzniecību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275">
              <w:rPr>
                <w:rFonts w:ascii="Times New Roman" w:hAnsi="Times New Roman" w:cs="Times New Roman"/>
              </w:rPr>
              <w:t>atbilstoši Latvijas Republikā spēkā esošo</w:t>
            </w:r>
            <w:r w:rsidRPr="009E3E29">
              <w:rPr>
                <w:rFonts w:ascii="Times New Roman" w:hAnsi="Times New Roman" w:cs="Times New Roman"/>
              </w:rPr>
              <w:t xml:space="preserve"> normatīvo aktu prasībām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EA57527" w14:textId="45E46680" w:rsidR="009E3E29" w:rsidRPr="008A10E0" w:rsidRDefault="00813275" w:rsidP="0081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3.3.7. – </w:t>
            </w:r>
            <w:r w:rsidRPr="00813275">
              <w:rPr>
                <w:rFonts w:ascii="Times New Roman" w:hAnsi="Times New Roman" w:cs="Times New Roman"/>
              </w:rPr>
              <w:t>licence, kas apliecina Pretendenta tiesības veikt preces</w:t>
            </w:r>
            <w:r w:rsidRPr="00813275">
              <w:rPr>
                <w:rFonts w:ascii="Times New Roman" w:hAnsi="Times New Roman" w:cs="Times New Roman"/>
                <w:b/>
                <w:bCs/>
              </w:rPr>
              <w:t xml:space="preserve"> pārvadāšanu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275">
              <w:rPr>
                <w:rFonts w:ascii="Times New Roman" w:hAnsi="Times New Roman" w:cs="Times New Roman"/>
              </w:rPr>
              <w:t>atbilstoši Latvijas Republikā spēkā esošo normatīvo aktu prasībām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6878" w:rsidRPr="00DB2F93" w14:paraId="58A572CB" w14:textId="77777777" w:rsidTr="00906878">
        <w:trPr>
          <w:trHeight w:val="867"/>
          <w:jc w:val="center"/>
        </w:trPr>
        <w:tc>
          <w:tcPr>
            <w:tcW w:w="890" w:type="dxa"/>
            <w:shd w:val="clear" w:color="auto" w:fill="auto"/>
          </w:tcPr>
          <w:p w14:paraId="05044B9C" w14:textId="3563058F" w:rsidR="00906878" w:rsidRDefault="00906878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9878" w:type="dxa"/>
            <w:shd w:val="clear" w:color="auto" w:fill="auto"/>
          </w:tcPr>
          <w:p w14:paraId="10D5601D" w14:textId="2837FE93" w:rsidR="00906878" w:rsidRPr="00906878" w:rsidRDefault="00906878" w:rsidP="00B610FD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Vai nolikuma 3.3.5 (2) punkts un 3.3.8. ir viens un tas pats – atbilstības sertifikāts?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A5DFD02" w14:textId="77777777" w:rsidR="00906878" w:rsidRDefault="00D94183" w:rsidP="00875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3.3.5. (2) – </w:t>
            </w:r>
            <w:r w:rsidRPr="00086BD3">
              <w:rPr>
                <w:rFonts w:ascii="Times New Roman" w:hAnsi="Times New Roman" w:cs="Times New Roman"/>
                <w:b/>
                <w:bCs/>
              </w:rPr>
              <w:t>Ražotāja</w:t>
            </w:r>
            <w:r>
              <w:rPr>
                <w:rFonts w:ascii="Times New Roman" w:hAnsi="Times New Roman" w:cs="Times New Roman"/>
              </w:rPr>
              <w:t xml:space="preserve"> izsniegts sertifikāts,</w:t>
            </w:r>
            <w:r>
              <w:t xml:space="preserve"> </w:t>
            </w:r>
            <w:r w:rsidRPr="00D94183">
              <w:rPr>
                <w:rFonts w:ascii="Times New Roman" w:hAnsi="Times New Roman" w:cs="Times New Roman"/>
              </w:rPr>
              <w:t>kas apliecina piedāvātās Preces atbilstību</w:t>
            </w:r>
            <w:r>
              <w:rPr>
                <w:rFonts w:ascii="Times New Roman" w:hAnsi="Times New Roman" w:cs="Times New Roman"/>
              </w:rPr>
              <w:t xml:space="preserve"> tehniskajai </w:t>
            </w:r>
            <w:r>
              <w:rPr>
                <w:rFonts w:ascii="Times New Roman" w:hAnsi="Times New Roman" w:cs="Times New Roman"/>
              </w:rPr>
              <w:lastRenderedPageBreak/>
              <w:t xml:space="preserve">specifikācijai un </w:t>
            </w:r>
            <w:r w:rsidRPr="00D94183">
              <w:rPr>
                <w:rFonts w:ascii="Times New Roman" w:hAnsi="Times New Roman" w:cs="Times New Roman"/>
              </w:rPr>
              <w:t>Eiropas Savienības normatīvo aktu prasībām un standartiem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4D4F41A" w14:textId="460A5970" w:rsidR="00D94183" w:rsidRPr="008A10E0" w:rsidRDefault="00D94183" w:rsidP="00875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3.3.8. Dokumenti, kas apliecina, ka </w:t>
            </w:r>
            <w:r w:rsidR="000A68C1">
              <w:rPr>
                <w:rFonts w:ascii="Times New Roman" w:hAnsi="Times New Roman" w:cs="Times New Roman"/>
              </w:rPr>
              <w:t xml:space="preserve">Prece atbilst </w:t>
            </w:r>
            <w:r w:rsidR="000A68C1" w:rsidRPr="000A68C1">
              <w:rPr>
                <w:rFonts w:ascii="Times New Roman" w:hAnsi="Times New Roman" w:cs="Times New Roman"/>
              </w:rPr>
              <w:t>spēkā esošo normatīvo aktu un standartu noteiktajām degvielas kvalitātes prasībām</w:t>
            </w:r>
            <w:r w:rsidR="000A68C1">
              <w:rPr>
                <w:rFonts w:ascii="Times New Roman" w:hAnsi="Times New Roman" w:cs="Times New Roman"/>
              </w:rPr>
              <w:t>.</w:t>
            </w:r>
          </w:p>
        </w:tc>
      </w:tr>
      <w:tr w:rsidR="00906878" w:rsidRPr="00DB2F93" w14:paraId="1B8FF9C0" w14:textId="77777777" w:rsidTr="00E82E21">
        <w:trPr>
          <w:trHeight w:val="867"/>
          <w:jc w:val="center"/>
        </w:trPr>
        <w:tc>
          <w:tcPr>
            <w:tcW w:w="890" w:type="dxa"/>
            <w:shd w:val="clear" w:color="auto" w:fill="auto"/>
          </w:tcPr>
          <w:p w14:paraId="7CFB3B25" w14:textId="59631D11" w:rsidR="00906878" w:rsidRDefault="00906878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5.</w:t>
            </w:r>
          </w:p>
        </w:tc>
        <w:tc>
          <w:tcPr>
            <w:tcW w:w="9878" w:type="dxa"/>
            <w:shd w:val="clear" w:color="auto" w:fill="auto"/>
          </w:tcPr>
          <w:p w14:paraId="314DB46F" w14:textId="786FD5BB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Lūdzu precizēt nolikuma 7.3. punktu, kur minēts “Pēc iepirkuma līguma noslēgšanas izraudzītais Pretendents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10 (desmit) darba dienu laikā iesniedz (iemaksā) līguma nodrošinājumu 5% (piecu procentu) apmērā no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kopējās prognozējamās līgumcenas (bez PVN) kredītiestādes izsniegtas garantijas veidā (Nolikuma 5.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pielikums) vai iemaksājot Pircēja bankas kontā (bankas konta Nr. tiks norādīts līgumā), maksājuma mērķī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norādot informāciju par pārskaitījumu: “Līguma nodrošinājums ____ Līguma datums un ____ Pircēja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piešķirtais numurs” (sīkāk līguma nodrošinājumu nosacījumus skat. arī Nolikuma 7. pielikuma 3. sadaļā un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formu 5. pielikumā.” un līguma projekta 3.1. punktu “ Pārdevējs apņemas 10 (desmit) darba dienu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laikā no līguma spēkā stāšanās brīža iesniegt pircējam līguma nodrošinājumu – bankas galvojumu</w:t>
            </w:r>
            <w:r w:rsidR="00D57A94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vai veikt naudas summas iemaksu pircēja bankas kontā 50 000,00 (piecdesmit tūkstoši) EUR</w:t>
            </w:r>
            <w:r w:rsidR="00E82E21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apmērā, atbilstoši Sarunu procedūras nolikuma 5. pielikumam</w:t>
            </w:r>
            <w:r w:rsidR="00E82E21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vai veikt naudas summas iemaksu</w:t>
            </w:r>
            <w:r w:rsidR="00E82E21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pircēja bankas kontā.”</w:t>
            </w:r>
          </w:p>
          <w:p w14:paraId="4D18F0D4" w14:textId="0D0FE31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Kāds ir līguma nodrošinājums?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50DBCE8E" w14:textId="3BCA2D35" w:rsidR="00906878" w:rsidRPr="008A10E0" w:rsidRDefault="00FB3936" w:rsidP="00875094">
            <w:pPr>
              <w:jc w:val="center"/>
              <w:rPr>
                <w:rFonts w:ascii="Times New Roman" w:hAnsi="Times New Roman" w:cs="Times New Roman"/>
              </w:rPr>
            </w:pPr>
            <w:r w:rsidRPr="00FB3936">
              <w:rPr>
                <w:rFonts w:ascii="Times New Roman" w:hAnsi="Times New Roman" w:cs="Times New Roman"/>
              </w:rPr>
              <w:t>Skatīt Grozījumus Nr.1.</w:t>
            </w:r>
          </w:p>
        </w:tc>
      </w:tr>
      <w:tr w:rsidR="00906878" w:rsidRPr="00DB2F93" w14:paraId="10CDDEDB" w14:textId="77777777" w:rsidTr="00906878">
        <w:trPr>
          <w:trHeight w:val="867"/>
          <w:jc w:val="center"/>
        </w:trPr>
        <w:tc>
          <w:tcPr>
            <w:tcW w:w="890" w:type="dxa"/>
            <w:shd w:val="clear" w:color="auto" w:fill="auto"/>
          </w:tcPr>
          <w:p w14:paraId="3A3C0661" w14:textId="0DC1DFBA" w:rsidR="00906878" w:rsidRDefault="00906878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9878" w:type="dxa"/>
            <w:shd w:val="clear" w:color="auto" w:fill="auto"/>
          </w:tcPr>
          <w:p w14:paraId="545CC5EC" w14:textId="7777777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P lielums ir aprēķināms ” P = iepriekšējo 5 (piecu) dienu, pirms piegādes dienas. Platts cena par</w:t>
            </w:r>
          </w:p>
          <w:p w14:paraId="0621D863" w14:textId="7777777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iepriekšējo dienu ir zināma parasti ap plkst. 10.00, taču lai veiktu piegādi uz Daugavpili, mašīna ir</w:t>
            </w:r>
          </w:p>
          <w:p w14:paraId="5B7705C9" w14:textId="7777777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jāuzkrauj un jāizraksta pavadzīmi jau agri no rīta vai pat iepriekšējā vakarā, kam ir jābūt aprēķinātai</w:t>
            </w:r>
          </w:p>
          <w:p w14:paraId="0025D63A" w14:textId="7777777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cenai. Ar šo esam saskārušies jau veicot Jums piegādes uz Liepāju, kad mašīna dēļ cenas aprēķina</w:t>
            </w:r>
          </w:p>
          <w:p w14:paraId="46981941" w14:textId="7777777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nevar ierasties Jūsu darba laikā vai, kad ir saīsinatā darba diena, mašīnai jāpaspēj atbraukt un</w:t>
            </w:r>
          </w:p>
          <w:p w14:paraId="540DB691" w14:textId="7777777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rakstam pavadzīmi ar provizorisku cenu un pēc tam to labojam, sūtam jaunu.</w:t>
            </w:r>
          </w:p>
          <w:p w14:paraId="2D21CCBE" w14:textId="77777777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Lūdzu mainīt šo punktu, nosakot “iepriekšējo 5 (piecu) dienu divas dienas pirms piegādes</w:t>
            </w:r>
          </w:p>
          <w:p w14:paraId="2BCD853D" w14:textId="04B8565D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dienas.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67D5260" w14:textId="21A6A1CA" w:rsidR="00906878" w:rsidRPr="008A10E0" w:rsidRDefault="00641597" w:rsidP="00875094">
            <w:pPr>
              <w:jc w:val="center"/>
              <w:rPr>
                <w:rFonts w:ascii="Times New Roman" w:hAnsi="Times New Roman" w:cs="Times New Roman"/>
              </w:rPr>
            </w:pPr>
            <w:r w:rsidRPr="00D47FEF">
              <w:rPr>
                <w:rFonts w:ascii="Times New Roman" w:hAnsi="Times New Roman" w:cs="Times New Roman"/>
              </w:rPr>
              <w:t>N</w:t>
            </w:r>
            <w:r w:rsidR="006531BF" w:rsidRPr="00D47FEF">
              <w:rPr>
                <w:rFonts w:ascii="Times New Roman" w:hAnsi="Times New Roman" w:cs="Times New Roman"/>
              </w:rPr>
              <w:t>osacījums netiek mainīts</w:t>
            </w:r>
            <w:r w:rsidR="00813275" w:rsidRPr="00D47FEF">
              <w:rPr>
                <w:rFonts w:ascii="Times New Roman" w:hAnsi="Times New Roman" w:cs="Times New Roman"/>
              </w:rPr>
              <w:t>.</w:t>
            </w:r>
          </w:p>
        </w:tc>
      </w:tr>
      <w:tr w:rsidR="00906878" w:rsidRPr="00DB2F93" w14:paraId="19C196AF" w14:textId="77777777" w:rsidTr="00E82E21">
        <w:trPr>
          <w:trHeight w:val="896"/>
          <w:jc w:val="center"/>
        </w:trPr>
        <w:tc>
          <w:tcPr>
            <w:tcW w:w="890" w:type="dxa"/>
            <w:shd w:val="clear" w:color="auto" w:fill="auto"/>
          </w:tcPr>
          <w:p w14:paraId="3A2EA276" w14:textId="4E7F5EFF" w:rsidR="00906878" w:rsidRDefault="00906878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9878" w:type="dxa"/>
            <w:shd w:val="clear" w:color="auto" w:fill="auto"/>
          </w:tcPr>
          <w:p w14:paraId="2A1B6D33" w14:textId="188A01E9" w:rsidR="00906878" w:rsidRPr="00906878" w:rsidRDefault="00906878" w:rsidP="00906878">
            <w:pPr>
              <w:rPr>
                <w:rFonts w:ascii="Times New Roman" w:hAnsi="Times New Roman" w:cs="Times New Roman"/>
              </w:rPr>
            </w:pPr>
            <w:r w:rsidRPr="00906878">
              <w:rPr>
                <w:rFonts w:ascii="Times New Roman" w:hAnsi="Times New Roman" w:cs="Times New Roman"/>
              </w:rPr>
              <w:t>Nolikuma 6. pielikuma pieredzes tabulā jāmin “līguma summa”, šāda informācija nav izpaužama trešajām personām,</w:t>
            </w:r>
            <w:r w:rsidR="0024749D">
              <w:rPr>
                <w:rFonts w:ascii="Times New Roman" w:hAnsi="Times New Roman" w:cs="Times New Roman"/>
              </w:rPr>
              <w:t xml:space="preserve"> </w:t>
            </w:r>
            <w:r w:rsidRPr="00906878">
              <w:rPr>
                <w:rFonts w:ascii="Times New Roman" w:hAnsi="Times New Roman" w:cs="Times New Roman"/>
              </w:rPr>
              <w:t>lūdzu, izņemt šo prasību jeb pamatot tās nepieciešamības būtību.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938F951" w14:textId="1C55080B" w:rsidR="00906878" w:rsidRPr="008A10E0" w:rsidRDefault="00641597" w:rsidP="00875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 līguma summa saskaņā ar noslēgto līgumu nav izpaužama, tad ailē “līguma summa” norādāms – nav izpaužama. </w:t>
            </w:r>
          </w:p>
        </w:tc>
      </w:tr>
      <w:bookmarkEnd w:id="2"/>
    </w:tbl>
    <w:p w14:paraId="5D7F5500" w14:textId="77777777" w:rsidR="00577433" w:rsidRPr="0014327C" w:rsidRDefault="00577433" w:rsidP="00DB2F93">
      <w:pPr>
        <w:rPr>
          <w:rFonts w:ascii="Times New Roman" w:hAnsi="Times New Roman" w:cs="Times New Roman"/>
        </w:rPr>
      </w:pPr>
    </w:p>
    <w:sectPr w:rsidR="00577433" w:rsidRPr="0014327C" w:rsidSect="002445E0">
      <w:headerReference w:type="default" r:id="rId11"/>
      <w:footerReference w:type="default" r:id="rId12"/>
      <w:pgSz w:w="16838" w:h="11906" w:orient="landscape" w:code="9"/>
      <w:pgMar w:top="568" w:right="70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8BC6" w14:textId="77777777" w:rsidR="006C3976" w:rsidRDefault="006C3976" w:rsidP="00591256">
      <w:r>
        <w:separator/>
      </w:r>
    </w:p>
  </w:endnote>
  <w:endnote w:type="continuationSeparator" w:id="0">
    <w:p w14:paraId="66F0E317" w14:textId="77777777" w:rsidR="006C3976" w:rsidRDefault="006C3976" w:rsidP="00591256">
      <w:r>
        <w:continuationSeparator/>
      </w:r>
    </w:p>
  </w:endnote>
  <w:endnote w:type="continuationNotice" w:id="1">
    <w:p w14:paraId="6445F838" w14:textId="77777777" w:rsidR="006C3976" w:rsidRDefault="006C3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354E" w14:textId="77777777" w:rsidR="006C3976" w:rsidRDefault="006C3976" w:rsidP="00591256">
      <w:r>
        <w:separator/>
      </w:r>
    </w:p>
  </w:footnote>
  <w:footnote w:type="continuationSeparator" w:id="0">
    <w:p w14:paraId="541E4EF6" w14:textId="77777777" w:rsidR="006C3976" w:rsidRDefault="006C3976" w:rsidP="00591256">
      <w:r>
        <w:continuationSeparator/>
      </w:r>
    </w:p>
  </w:footnote>
  <w:footnote w:type="continuationNotice" w:id="1">
    <w:p w14:paraId="7DAEF964" w14:textId="77777777" w:rsidR="006C3976" w:rsidRDefault="006C3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58DC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03E1"/>
    <w:rsid w:val="00102BE5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1152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5851"/>
    <w:rsid w:val="00516A16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C397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61806"/>
    <w:rsid w:val="00764E82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D3632"/>
    <w:rsid w:val="007D5021"/>
    <w:rsid w:val="007D658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275"/>
    <w:rsid w:val="00813A56"/>
    <w:rsid w:val="00816A26"/>
    <w:rsid w:val="0082010B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3E2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4E33"/>
    <w:rsid w:val="00BA7427"/>
    <w:rsid w:val="00BB3722"/>
    <w:rsid w:val="00BC2F39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60FC3"/>
    <w:rsid w:val="00D61B22"/>
    <w:rsid w:val="00D665FB"/>
    <w:rsid w:val="00D677CD"/>
    <w:rsid w:val="00D70BC6"/>
    <w:rsid w:val="00D7671F"/>
    <w:rsid w:val="00D775C1"/>
    <w:rsid w:val="00D80869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326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C6DDB-A65B-448A-91A4-582C7541E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2648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2022-02-11T12:10:00Z</dcterms:created>
  <dcterms:modified xsi:type="dcterms:W3CDTF">2022-02-11T12:10:00Z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