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0" w:type="dxa"/>
        <w:jc w:val="center"/>
        <w:tblLayout w:type="fixed"/>
        <w:tblLook w:val="04A0" w:firstRow="1" w:lastRow="0" w:firstColumn="1" w:lastColumn="0" w:noHBand="0" w:noVBand="1"/>
      </w:tblPr>
      <w:tblGrid>
        <w:gridCol w:w="988"/>
        <w:gridCol w:w="4394"/>
        <w:gridCol w:w="4388"/>
      </w:tblGrid>
      <w:tr w:rsidR="00AD1736" w:rsidRPr="00224226" w14:paraId="3E0EC29A" w14:textId="77777777" w:rsidTr="00267CA3">
        <w:trPr>
          <w:jc w:val="center"/>
        </w:trPr>
        <w:tc>
          <w:tcPr>
            <w:tcW w:w="988" w:type="dxa"/>
            <w:shd w:val="clear" w:color="auto" w:fill="FFF2CC"/>
          </w:tcPr>
          <w:p w14:paraId="6FABDDF3" w14:textId="77777777" w:rsidR="00AD1736" w:rsidRPr="00224226" w:rsidRDefault="00AD1736" w:rsidP="00267CA3">
            <w:pPr>
              <w:jc w:val="center"/>
              <w:rPr>
                <w:rFonts w:eastAsia="Calibri"/>
                <w:sz w:val="24"/>
                <w:szCs w:val="24"/>
                <w:lang w:val="lv-LV" w:eastAsia="en-US"/>
              </w:rPr>
            </w:pPr>
            <w:proofErr w:type="spellStart"/>
            <w:r w:rsidRPr="00224226">
              <w:rPr>
                <w:rFonts w:eastAsia="Calibri"/>
                <w:sz w:val="24"/>
                <w:szCs w:val="24"/>
                <w:lang w:val="lv-LV" w:eastAsia="en-US"/>
              </w:rPr>
              <w:t>Nr.p.k</w:t>
            </w:r>
            <w:proofErr w:type="spellEnd"/>
            <w:r w:rsidRPr="00224226">
              <w:rPr>
                <w:rFonts w:eastAsia="Calibri"/>
                <w:sz w:val="24"/>
                <w:szCs w:val="24"/>
                <w:lang w:val="lv-LV" w:eastAsia="en-US"/>
              </w:rPr>
              <w:t>.</w:t>
            </w:r>
          </w:p>
        </w:tc>
        <w:tc>
          <w:tcPr>
            <w:tcW w:w="4394" w:type="dxa"/>
            <w:shd w:val="clear" w:color="auto" w:fill="FFF2CC"/>
          </w:tcPr>
          <w:p w14:paraId="2F6E9F53" w14:textId="77777777" w:rsidR="00AD1736" w:rsidRPr="00224226" w:rsidRDefault="00AD1736" w:rsidP="00267CA3">
            <w:pPr>
              <w:jc w:val="center"/>
              <w:rPr>
                <w:rFonts w:eastAsia="Calibri"/>
                <w:i/>
                <w:sz w:val="24"/>
                <w:szCs w:val="24"/>
                <w:lang w:val="lv-LV" w:eastAsia="en-US"/>
              </w:rPr>
            </w:pPr>
            <w:r w:rsidRPr="00224226">
              <w:rPr>
                <w:rFonts w:eastAsia="Calibri"/>
                <w:i/>
                <w:sz w:val="24"/>
                <w:szCs w:val="24"/>
                <w:lang w:val="lv-LV" w:eastAsia="en-US"/>
              </w:rPr>
              <w:t>Jautājums</w:t>
            </w:r>
          </w:p>
        </w:tc>
        <w:tc>
          <w:tcPr>
            <w:tcW w:w="4388" w:type="dxa"/>
            <w:shd w:val="clear" w:color="auto" w:fill="FFF2CC" w:themeFill="accent4" w:themeFillTint="33"/>
          </w:tcPr>
          <w:p w14:paraId="41E30A4B" w14:textId="77777777" w:rsidR="00AD1736" w:rsidRPr="00224226" w:rsidRDefault="00AD1736" w:rsidP="00267CA3">
            <w:pPr>
              <w:jc w:val="center"/>
              <w:rPr>
                <w:rFonts w:eastAsia="Calibri"/>
                <w:i/>
                <w:sz w:val="24"/>
                <w:szCs w:val="24"/>
                <w:lang w:val="lv-LV" w:eastAsia="en-US"/>
              </w:rPr>
            </w:pPr>
            <w:r w:rsidRPr="00224226">
              <w:rPr>
                <w:rFonts w:eastAsia="Calibri"/>
                <w:i/>
                <w:sz w:val="24"/>
                <w:szCs w:val="24"/>
                <w:lang w:val="lv-LV" w:eastAsia="en-US"/>
              </w:rPr>
              <w:t>Atbilde</w:t>
            </w:r>
          </w:p>
        </w:tc>
      </w:tr>
      <w:tr w:rsidR="00AD1736" w:rsidRPr="00224226" w14:paraId="3E5C1B86" w14:textId="77777777" w:rsidTr="00267CA3">
        <w:trPr>
          <w:jc w:val="center"/>
        </w:trPr>
        <w:tc>
          <w:tcPr>
            <w:tcW w:w="988" w:type="dxa"/>
            <w:shd w:val="clear" w:color="auto" w:fill="DCFDD7"/>
          </w:tcPr>
          <w:p w14:paraId="574C623D" w14:textId="77777777" w:rsidR="00AD1736" w:rsidRPr="00224226" w:rsidRDefault="00AD1736" w:rsidP="00267CA3">
            <w:pPr>
              <w:jc w:val="center"/>
              <w:rPr>
                <w:rFonts w:eastAsia="Calibri"/>
                <w:sz w:val="24"/>
                <w:szCs w:val="24"/>
                <w:lang w:val="lv-LV" w:eastAsia="en-US"/>
              </w:rPr>
            </w:pPr>
          </w:p>
        </w:tc>
        <w:tc>
          <w:tcPr>
            <w:tcW w:w="4394" w:type="dxa"/>
            <w:shd w:val="clear" w:color="auto" w:fill="DCFDD7"/>
          </w:tcPr>
          <w:p w14:paraId="2861A543" w14:textId="77777777" w:rsidR="00AD1736" w:rsidRPr="00224226" w:rsidRDefault="00AD1736" w:rsidP="00267CA3">
            <w:pPr>
              <w:jc w:val="center"/>
              <w:rPr>
                <w:rFonts w:eastAsia="Calibri"/>
                <w:i/>
                <w:sz w:val="24"/>
                <w:szCs w:val="24"/>
                <w:lang w:val="lv-LV" w:eastAsia="en-US"/>
              </w:rPr>
            </w:pPr>
            <w:r w:rsidRPr="00224226">
              <w:rPr>
                <w:rFonts w:eastAsia="Calibri"/>
                <w:i/>
                <w:sz w:val="24"/>
                <w:szCs w:val="24"/>
                <w:lang w:val="lv-LV" w:eastAsia="en-US"/>
              </w:rPr>
              <w:t>05.11.2019.</w:t>
            </w:r>
          </w:p>
        </w:tc>
        <w:tc>
          <w:tcPr>
            <w:tcW w:w="4388" w:type="dxa"/>
            <w:shd w:val="clear" w:color="auto" w:fill="DCFDD7"/>
          </w:tcPr>
          <w:p w14:paraId="450DD2C8" w14:textId="77777777" w:rsidR="00AD1736" w:rsidRPr="00224226" w:rsidRDefault="00AD1736" w:rsidP="00267CA3">
            <w:pPr>
              <w:jc w:val="center"/>
              <w:rPr>
                <w:rFonts w:eastAsia="Calibri"/>
                <w:i/>
                <w:sz w:val="24"/>
                <w:szCs w:val="24"/>
                <w:lang w:val="lv-LV" w:eastAsia="en-US"/>
              </w:rPr>
            </w:pPr>
            <w:r w:rsidRPr="00224226">
              <w:rPr>
                <w:rFonts w:eastAsia="Calibri"/>
                <w:i/>
                <w:sz w:val="24"/>
                <w:szCs w:val="24"/>
                <w:lang w:val="lv-LV" w:eastAsia="en-US"/>
              </w:rPr>
              <w:t>07.11.2019.</w:t>
            </w:r>
          </w:p>
        </w:tc>
      </w:tr>
      <w:tr w:rsidR="00AD1736" w:rsidRPr="00224226" w14:paraId="4DA0D813" w14:textId="77777777" w:rsidTr="00267CA3">
        <w:trPr>
          <w:jc w:val="center"/>
        </w:trPr>
        <w:tc>
          <w:tcPr>
            <w:tcW w:w="988" w:type="dxa"/>
          </w:tcPr>
          <w:p w14:paraId="6E98A77D"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t>1.</w:t>
            </w:r>
          </w:p>
        </w:tc>
        <w:tc>
          <w:tcPr>
            <w:tcW w:w="4394" w:type="dxa"/>
          </w:tcPr>
          <w:p w14:paraId="715E4F02" w14:textId="77777777" w:rsidR="00AD1736" w:rsidRPr="00224226" w:rsidRDefault="00AD1736" w:rsidP="00267CA3">
            <w:pPr>
              <w:jc w:val="left"/>
              <w:rPr>
                <w:sz w:val="24"/>
                <w:szCs w:val="24"/>
                <w:lang w:val="lv-LV"/>
              </w:rPr>
            </w:pPr>
            <w:r w:rsidRPr="00224226">
              <w:rPr>
                <w:sz w:val="24"/>
                <w:szCs w:val="24"/>
                <w:lang w:val="lv-LV"/>
              </w:rPr>
              <w:t>Attiecībā uz nolikumu  1.6.    Piedāvājuma nodrošinājums:</w:t>
            </w:r>
          </w:p>
          <w:p w14:paraId="4A09EF72" w14:textId="77777777" w:rsidR="00AD1736" w:rsidRPr="00224226" w:rsidRDefault="00AD1736" w:rsidP="00267CA3">
            <w:pPr>
              <w:jc w:val="left"/>
              <w:rPr>
                <w:sz w:val="24"/>
                <w:szCs w:val="24"/>
                <w:lang w:val="lv-LV"/>
              </w:rPr>
            </w:pPr>
            <w:r w:rsidRPr="00224226">
              <w:rPr>
                <w:sz w:val="24"/>
                <w:szCs w:val="24"/>
                <w:lang w:val="lv-LV"/>
              </w:rPr>
              <w:t>- Vai ir pieļaujams iesniegt Apdrošināšanas kompānijas garantētu Piedāvājuma nodrošinājumu?</w:t>
            </w:r>
          </w:p>
          <w:p w14:paraId="7A33BBA8" w14:textId="77777777" w:rsidR="00AD1736" w:rsidRPr="00224226" w:rsidRDefault="00AD1736" w:rsidP="00267CA3">
            <w:pPr>
              <w:jc w:val="left"/>
              <w:rPr>
                <w:sz w:val="24"/>
                <w:szCs w:val="24"/>
                <w:lang w:val="lv-LV"/>
              </w:rPr>
            </w:pPr>
          </w:p>
        </w:tc>
        <w:tc>
          <w:tcPr>
            <w:tcW w:w="4388" w:type="dxa"/>
          </w:tcPr>
          <w:p w14:paraId="2DB314AB"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Darām zināmu, ka konkrētā iepirkuma procedūra - sarunu procedūra ar publikāciju “</w:t>
            </w:r>
            <w:r w:rsidRPr="00224226">
              <w:rPr>
                <w:bCs/>
                <w:sz w:val="24"/>
                <w:szCs w:val="24"/>
                <w:lang w:val="lv-LV"/>
              </w:rPr>
              <w:t xml:space="preserve">Jumta remonts stacijās Ziemeļblāzma un </w:t>
            </w:r>
            <w:proofErr w:type="spellStart"/>
            <w:r w:rsidRPr="00224226">
              <w:rPr>
                <w:bCs/>
                <w:sz w:val="24"/>
                <w:szCs w:val="24"/>
                <w:lang w:val="lv-LV"/>
              </w:rPr>
              <w:t>Zasulauks</w:t>
            </w:r>
            <w:proofErr w:type="spellEnd"/>
            <w:r w:rsidRPr="00224226">
              <w:rPr>
                <w:rFonts w:eastAsia="Calibri"/>
                <w:sz w:val="24"/>
                <w:szCs w:val="24"/>
                <w:lang w:val="lv-LV" w:eastAsia="en-US"/>
              </w:rPr>
              <w:t xml:space="preserve">” (turpmāk – Sarunu procedūra) ir </w:t>
            </w:r>
            <w:proofErr w:type="spellStart"/>
            <w:r w:rsidRPr="00224226">
              <w:rPr>
                <w:rFonts w:eastAsia="Calibri"/>
                <w:sz w:val="24"/>
                <w:szCs w:val="24"/>
                <w:lang w:val="lv-LV" w:eastAsia="en-US"/>
              </w:rPr>
              <w:t>zemsliekšņa</w:t>
            </w:r>
            <w:proofErr w:type="spellEnd"/>
            <w:r w:rsidRPr="00224226">
              <w:rPr>
                <w:rFonts w:eastAsia="Calibri"/>
                <w:sz w:val="24"/>
                <w:szCs w:val="24"/>
                <w:lang w:val="lv-LV" w:eastAsia="en-US"/>
              </w:rPr>
              <w:t xml:space="preserve"> procedūra, kura </w:t>
            </w:r>
            <w:r w:rsidRPr="00224226">
              <w:rPr>
                <w:rFonts w:eastAsia="Calibri"/>
                <w:sz w:val="24"/>
                <w:szCs w:val="24"/>
                <w:u w:val="single"/>
                <w:lang w:val="lv-LV" w:eastAsia="en-US"/>
              </w:rPr>
              <w:t>nav</w:t>
            </w:r>
            <w:r w:rsidRPr="00224226">
              <w:rPr>
                <w:rFonts w:eastAsia="Calibri"/>
                <w:sz w:val="24"/>
                <w:szCs w:val="24"/>
                <w:lang w:val="lv-LV" w:eastAsia="en-US"/>
              </w:rPr>
              <w:t xml:space="preserve"> jāveic saskaņā ar visiem Sabiedrisko pakalpojumu sniedzēju iepirkumu likuma (turpmāk – SPSIL) noteikumiem. Tomēr, lai arī VAS “Latvijas dzelzceļš” (turpmāk – LDZ) iepirkumus veic, ievērojot daudzus SPSIL noteikumus, LDZ ir tiesības izvirzīt tādas prasības, kuru </w:t>
            </w:r>
            <w:r w:rsidRPr="00224226">
              <w:rPr>
                <w:rFonts w:eastAsia="Calibri"/>
                <w:b/>
                <w:sz w:val="24"/>
                <w:szCs w:val="24"/>
                <w:u w:val="single"/>
                <w:lang w:val="lv-LV" w:eastAsia="en-US"/>
              </w:rPr>
              <w:t>operatīva, nekavējoša</w:t>
            </w:r>
            <w:r w:rsidRPr="00224226">
              <w:rPr>
                <w:rFonts w:eastAsia="Calibri"/>
                <w:sz w:val="24"/>
                <w:szCs w:val="24"/>
                <w:lang w:val="lv-LV" w:eastAsia="en-US"/>
              </w:rPr>
              <w:t xml:space="preserve"> pārbaude un īstenošana neapgrūtina LDZ rīcību. </w:t>
            </w:r>
          </w:p>
          <w:p w14:paraId="4A2CA8AE"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 xml:space="preserve">Norādām, ka Sarunu procedūras nolikuma 1.6.2.punktā ietvertā prasība paredz piedāvājuma nodrošinājuma iesniegšanu </w:t>
            </w:r>
            <w:r w:rsidRPr="00224226">
              <w:rPr>
                <w:sz w:val="24"/>
                <w:szCs w:val="24"/>
                <w:u w:val="single"/>
                <w:lang w:val="lv-LV"/>
              </w:rPr>
              <w:t>kredītiestādes izsniegtas garantijas veidā vai kā pretendenta naudas summas iemaksu pasūtītāja bankas kontā</w:t>
            </w:r>
            <w:r w:rsidRPr="00224226">
              <w:rPr>
                <w:rFonts w:eastAsia="Calibri"/>
                <w:sz w:val="24"/>
                <w:szCs w:val="24"/>
                <w:lang w:val="lv-LV" w:eastAsia="en-US"/>
              </w:rPr>
              <w:t xml:space="preserve">, taču, ja pretendents kopā ar piedāvājumu var iesniegt tādu apdrošināšanas polisi kā beznosacījuma galvojumu (t.i., paredzot, ka nodrošinājuma devējs izmaksā nodrošinājumā paredzēto summu pēc  pirmā pieprasījuma), tad pretendents netiks izslēgts no dalības Sarunu procedūrā. </w:t>
            </w:r>
          </w:p>
          <w:p w14:paraId="2E4FFCC5"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Vienlaikus norādām, ka nolikuma 7.9.punkts un nolikuma 7.pielikuma – līguma projekta 7.1.punkts nosaka, ka līguma nodrošinājumu veic kā naudas summas iemaksu Pasūtītāja bankas kontā.</w:t>
            </w:r>
          </w:p>
        </w:tc>
      </w:tr>
      <w:tr w:rsidR="00AD1736" w:rsidRPr="00224226" w14:paraId="21ECDD8E" w14:textId="77777777" w:rsidTr="00267CA3">
        <w:trPr>
          <w:jc w:val="center"/>
        </w:trPr>
        <w:tc>
          <w:tcPr>
            <w:tcW w:w="988" w:type="dxa"/>
          </w:tcPr>
          <w:p w14:paraId="2E8E27D2"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t>2.</w:t>
            </w:r>
          </w:p>
        </w:tc>
        <w:tc>
          <w:tcPr>
            <w:tcW w:w="4394" w:type="dxa"/>
          </w:tcPr>
          <w:p w14:paraId="1E9A71BE" w14:textId="77777777" w:rsidR="00AD1736" w:rsidRPr="00224226" w:rsidRDefault="00AD1736" w:rsidP="00267CA3">
            <w:pPr>
              <w:jc w:val="left"/>
              <w:rPr>
                <w:sz w:val="24"/>
                <w:szCs w:val="24"/>
                <w:lang w:val="lv-LV"/>
              </w:rPr>
            </w:pPr>
            <w:r w:rsidRPr="00224226">
              <w:rPr>
                <w:sz w:val="24"/>
                <w:szCs w:val="24"/>
                <w:lang w:val="lv-LV"/>
              </w:rPr>
              <w:t>Attiecībā uz Objekta nosaukums:  Dzelzceļa stacijas "</w:t>
            </w:r>
            <w:proofErr w:type="spellStart"/>
            <w:r w:rsidRPr="00224226">
              <w:rPr>
                <w:sz w:val="24"/>
                <w:szCs w:val="24"/>
                <w:lang w:val="lv-LV"/>
              </w:rPr>
              <w:t>Zasulauks</w:t>
            </w:r>
            <w:proofErr w:type="spellEnd"/>
            <w:r w:rsidRPr="00224226">
              <w:rPr>
                <w:sz w:val="24"/>
                <w:szCs w:val="24"/>
                <w:lang w:val="lv-LV"/>
              </w:rPr>
              <w:t xml:space="preserve">" ēkas jumta remonts </w:t>
            </w:r>
          </w:p>
          <w:p w14:paraId="260A4052" w14:textId="77777777" w:rsidR="00AD1736" w:rsidRPr="00224226" w:rsidRDefault="00AD1736" w:rsidP="00267CA3">
            <w:pPr>
              <w:jc w:val="left"/>
              <w:rPr>
                <w:sz w:val="24"/>
                <w:szCs w:val="24"/>
                <w:lang w:val="lv-LV"/>
              </w:rPr>
            </w:pPr>
            <w:r w:rsidRPr="00224226">
              <w:rPr>
                <w:sz w:val="24"/>
                <w:szCs w:val="24"/>
                <w:lang w:val="lv-LV"/>
              </w:rPr>
              <w:t xml:space="preserve">Tāmes punktu 3.4.        </w:t>
            </w:r>
            <w:proofErr w:type="spellStart"/>
            <w:r w:rsidRPr="00224226">
              <w:rPr>
                <w:sz w:val="24"/>
                <w:szCs w:val="24"/>
                <w:lang w:val="lv-LV"/>
              </w:rPr>
              <w:t>Valc</w:t>
            </w:r>
            <w:proofErr w:type="spellEnd"/>
            <w:r w:rsidRPr="00224226">
              <w:rPr>
                <w:sz w:val="24"/>
                <w:szCs w:val="24"/>
                <w:lang w:val="lv-LV"/>
              </w:rPr>
              <w:t xml:space="preserve">-profila </w:t>
            </w:r>
            <w:proofErr w:type="spellStart"/>
            <w:r w:rsidRPr="00224226">
              <w:rPr>
                <w:sz w:val="24"/>
                <w:szCs w:val="24"/>
                <w:lang w:val="lv-LV"/>
              </w:rPr>
              <w:t>Ruuki</w:t>
            </w:r>
            <w:proofErr w:type="spellEnd"/>
            <w:r w:rsidRPr="00224226">
              <w:rPr>
                <w:sz w:val="24"/>
                <w:szCs w:val="24"/>
                <w:lang w:val="lv-LV"/>
              </w:rPr>
              <w:t xml:space="preserve"> "</w:t>
            </w:r>
            <w:proofErr w:type="spellStart"/>
            <w:r w:rsidRPr="00224226">
              <w:rPr>
                <w:sz w:val="24"/>
                <w:szCs w:val="24"/>
                <w:lang w:val="lv-LV"/>
              </w:rPr>
              <w:t>Monterrey</w:t>
            </w:r>
            <w:proofErr w:type="spellEnd"/>
            <w:r w:rsidRPr="00224226">
              <w:rPr>
                <w:sz w:val="24"/>
                <w:szCs w:val="24"/>
                <w:lang w:val="lv-LV"/>
              </w:rPr>
              <w:t>"  montāža (līdzīgs iepriekš nomainītam jumta segumam).</w:t>
            </w:r>
            <w:r w:rsidRPr="00224226">
              <w:rPr>
                <w:sz w:val="24"/>
                <w:szCs w:val="24"/>
                <w:lang w:val="lv-LV"/>
              </w:rPr>
              <w:br/>
              <w:t xml:space="preserve">- Nosaukumā ir pretruna </w:t>
            </w:r>
            <w:proofErr w:type="spellStart"/>
            <w:r w:rsidRPr="00224226">
              <w:rPr>
                <w:sz w:val="24"/>
                <w:szCs w:val="24"/>
                <w:lang w:val="lv-LV"/>
              </w:rPr>
              <w:t>Valc</w:t>
            </w:r>
            <w:proofErr w:type="spellEnd"/>
            <w:r w:rsidRPr="00224226">
              <w:rPr>
                <w:sz w:val="24"/>
                <w:szCs w:val="24"/>
                <w:lang w:val="lv-LV"/>
              </w:rPr>
              <w:t>-profils nevar būt "</w:t>
            </w:r>
            <w:proofErr w:type="spellStart"/>
            <w:r w:rsidRPr="00224226">
              <w:rPr>
                <w:sz w:val="24"/>
                <w:szCs w:val="24"/>
                <w:lang w:val="lv-LV"/>
              </w:rPr>
              <w:t>Monterrey</w:t>
            </w:r>
            <w:proofErr w:type="spellEnd"/>
            <w:r w:rsidRPr="00224226">
              <w:rPr>
                <w:sz w:val="24"/>
                <w:szCs w:val="24"/>
                <w:lang w:val="lv-LV"/>
              </w:rPr>
              <w:t xml:space="preserve">". Cik noprotam tad domāts ir RUUKKI </w:t>
            </w:r>
            <w:proofErr w:type="spellStart"/>
            <w:r w:rsidRPr="00224226">
              <w:rPr>
                <w:sz w:val="24"/>
                <w:szCs w:val="24"/>
                <w:lang w:val="lv-LV"/>
              </w:rPr>
              <w:t>dakstiņveida</w:t>
            </w:r>
            <w:proofErr w:type="spellEnd"/>
            <w:r w:rsidRPr="00224226">
              <w:rPr>
                <w:sz w:val="24"/>
                <w:szCs w:val="24"/>
                <w:lang w:val="lv-LV"/>
              </w:rPr>
              <w:t xml:space="preserve"> profils "</w:t>
            </w:r>
            <w:proofErr w:type="spellStart"/>
            <w:r w:rsidRPr="00224226">
              <w:rPr>
                <w:sz w:val="24"/>
                <w:szCs w:val="24"/>
                <w:lang w:val="lv-LV"/>
              </w:rPr>
              <w:t>Monterrey</w:t>
            </w:r>
            <w:proofErr w:type="spellEnd"/>
            <w:r w:rsidRPr="00224226">
              <w:rPr>
                <w:sz w:val="24"/>
                <w:szCs w:val="24"/>
                <w:lang w:val="lv-LV"/>
              </w:rPr>
              <w:t>". Vai tā?</w:t>
            </w:r>
          </w:p>
          <w:p w14:paraId="72524967" w14:textId="77777777" w:rsidR="00AD1736" w:rsidRPr="00224226" w:rsidRDefault="00AD1736" w:rsidP="00267CA3">
            <w:pPr>
              <w:jc w:val="left"/>
              <w:rPr>
                <w:sz w:val="24"/>
                <w:szCs w:val="24"/>
                <w:lang w:val="lv-LV"/>
              </w:rPr>
            </w:pPr>
            <w:r w:rsidRPr="00224226">
              <w:rPr>
                <w:sz w:val="24"/>
                <w:szCs w:val="24"/>
                <w:lang w:val="lv-LV"/>
              </w:rPr>
              <w:t>- Vai nekādu citu prasību uz materiāla pārklājumu un metāla biezumu nav.</w:t>
            </w:r>
          </w:p>
        </w:tc>
        <w:tc>
          <w:tcPr>
            <w:tcW w:w="4388" w:type="dxa"/>
          </w:tcPr>
          <w:p w14:paraId="59D6D66C" w14:textId="77777777" w:rsidR="00AD1736" w:rsidRPr="00224226" w:rsidRDefault="00AD1736" w:rsidP="00267CA3">
            <w:pPr>
              <w:rPr>
                <w:rFonts w:eastAsia="Calibri"/>
                <w:b/>
                <w:sz w:val="24"/>
                <w:szCs w:val="24"/>
                <w:lang w:val="lv-LV" w:eastAsia="en-US"/>
              </w:rPr>
            </w:pPr>
            <w:r w:rsidRPr="00224226">
              <w:rPr>
                <w:sz w:val="24"/>
                <w:szCs w:val="24"/>
                <w:lang w:val="lv-LV"/>
              </w:rPr>
              <w:t xml:space="preserve">No sarunu procedūras tiek izslēgta iepirkuma priekšmeta otrā daļa - </w:t>
            </w:r>
            <w:r w:rsidRPr="00224226">
              <w:rPr>
                <w:sz w:val="24"/>
                <w:szCs w:val="24"/>
                <w:lang w:val="lv-LV" w:eastAsia="en-US"/>
              </w:rPr>
              <w:t>jumta remonts dzelzceļa stacijas ēkai “</w:t>
            </w:r>
            <w:proofErr w:type="spellStart"/>
            <w:r w:rsidRPr="00224226">
              <w:rPr>
                <w:sz w:val="24"/>
                <w:szCs w:val="24"/>
                <w:lang w:val="lv-LV" w:eastAsia="en-US"/>
              </w:rPr>
              <w:t>Zasulauks</w:t>
            </w:r>
            <w:proofErr w:type="spellEnd"/>
            <w:r w:rsidRPr="00224226">
              <w:rPr>
                <w:sz w:val="24"/>
                <w:szCs w:val="24"/>
                <w:lang w:val="lv-LV" w:eastAsia="en-US"/>
              </w:rPr>
              <w:t xml:space="preserve">”, jo </w:t>
            </w:r>
            <w:r w:rsidRPr="00224226">
              <w:rPr>
                <w:rFonts w:eastAsia="Calibri"/>
                <w:sz w:val="24"/>
                <w:szCs w:val="24"/>
                <w:lang w:val="lv-LV" w:eastAsia="en-US"/>
              </w:rPr>
              <w:t xml:space="preserve">saistībā ar tehnoloģisko procesu ievērošanu un likumdošanas prasību izpildi nav iespējams veikt jumta seguma remontu līdz 30.12.2019. </w:t>
            </w:r>
            <w:proofErr w:type="spellStart"/>
            <w:r w:rsidRPr="00A116CA">
              <w:rPr>
                <w:rFonts w:eastAsia="Calibri"/>
                <w:sz w:val="24"/>
                <w:szCs w:val="24"/>
                <w:lang w:val="lv-LV" w:eastAsia="en-US"/>
              </w:rPr>
              <w:t>Zasulauka</w:t>
            </w:r>
            <w:proofErr w:type="spellEnd"/>
            <w:r w:rsidRPr="00A116CA">
              <w:rPr>
                <w:rFonts w:eastAsia="Calibri"/>
                <w:sz w:val="24"/>
                <w:szCs w:val="24"/>
                <w:lang w:val="lv-LV" w:eastAsia="en-US"/>
              </w:rPr>
              <w:t xml:space="preserve"> stacijas ēka</w:t>
            </w:r>
            <w:r w:rsidRPr="00224226">
              <w:rPr>
                <w:rFonts w:eastAsia="Calibri"/>
                <w:sz w:val="24"/>
                <w:szCs w:val="24"/>
                <w:lang w:val="lv-LV" w:eastAsia="en-US"/>
              </w:rPr>
              <w:t>i.</w:t>
            </w:r>
          </w:p>
        </w:tc>
      </w:tr>
      <w:tr w:rsidR="00AD1736" w:rsidRPr="00224226" w14:paraId="451F5D26" w14:textId="77777777" w:rsidTr="00267CA3">
        <w:trPr>
          <w:jc w:val="center"/>
        </w:trPr>
        <w:tc>
          <w:tcPr>
            <w:tcW w:w="988" w:type="dxa"/>
          </w:tcPr>
          <w:p w14:paraId="16FC4EC7"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t>3.</w:t>
            </w:r>
          </w:p>
        </w:tc>
        <w:tc>
          <w:tcPr>
            <w:tcW w:w="4394" w:type="dxa"/>
          </w:tcPr>
          <w:p w14:paraId="6866F8FD" w14:textId="77777777" w:rsidR="00AD1736" w:rsidRPr="00224226" w:rsidRDefault="00AD1736" w:rsidP="00267CA3">
            <w:pPr>
              <w:jc w:val="left"/>
              <w:rPr>
                <w:sz w:val="24"/>
                <w:szCs w:val="24"/>
                <w:lang w:val="lv-LV"/>
              </w:rPr>
            </w:pPr>
            <w:r w:rsidRPr="00224226">
              <w:rPr>
                <w:sz w:val="24"/>
                <w:szCs w:val="24"/>
                <w:lang w:val="lv-LV"/>
              </w:rPr>
              <w:t>Attiecībā uz Objekta nosaukums:  Dzelzceļa stacijas "</w:t>
            </w:r>
            <w:proofErr w:type="spellStart"/>
            <w:r w:rsidRPr="00224226">
              <w:rPr>
                <w:sz w:val="24"/>
                <w:szCs w:val="24"/>
                <w:lang w:val="lv-LV"/>
              </w:rPr>
              <w:t>Zasulauks</w:t>
            </w:r>
            <w:proofErr w:type="spellEnd"/>
            <w:r w:rsidRPr="00224226">
              <w:rPr>
                <w:sz w:val="24"/>
                <w:szCs w:val="24"/>
                <w:lang w:val="lv-LV"/>
              </w:rPr>
              <w:t>" ēkas jumta remonts</w:t>
            </w:r>
            <w:r w:rsidRPr="00224226">
              <w:rPr>
                <w:sz w:val="24"/>
                <w:szCs w:val="24"/>
                <w:lang w:val="lv-LV"/>
              </w:rPr>
              <w:br/>
              <w:t xml:space="preserve">Tāmes punktu </w:t>
            </w:r>
            <w:r w:rsidRPr="00224226">
              <w:rPr>
                <w:sz w:val="24"/>
                <w:szCs w:val="24"/>
                <w:lang w:val="lv-LV"/>
              </w:rPr>
              <w:lastRenderedPageBreak/>
              <w:t>3.13.        Sniega  aizsargbarjeru montāža (tumši brūns).</w:t>
            </w:r>
          </w:p>
          <w:p w14:paraId="516AF3CD" w14:textId="77777777" w:rsidR="00AD1736" w:rsidRPr="00224226" w:rsidRDefault="00AD1736" w:rsidP="00267CA3">
            <w:pPr>
              <w:jc w:val="left"/>
              <w:rPr>
                <w:sz w:val="24"/>
                <w:szCs w:val="24"/>
                <w:lang w:val="lv-LV"/>
              </w:rPr>
            </w:pPr>
            <w:r w:rsidRPr="00224226">
              <w:rPr>
                <w:sz w:val="24"/>
                <w:szCs w:val="24"/>
                <w:lang w:val="lv-LV"/>
              </w:rPr>
              <w:t xml:space="preserve">Tas pats arī: </w:t>
            </w:r>
            <w:r w:rsidRPr="00224226">
              <w:rPr>
                <w:sz w:val="24"/>
                <w:szCs w:val="24"/>
                <w:lang w:val="lv-LV"/>
              </w:rPr>
              <w:br/>
              <w:t>Attiecībā uz Objekta nosaukums:  Dzelzceļa stacijas "Ziemeļblāzma" ēkas jumta remonts</w:t>
            </w:r>
          </w:p>
          <w:p w14:paraId="0F17DCE9" w14:textId="77777777" w:rsidR="00AD1736" w:rsidRPr="00224226" w:rsidRDefault="00AD1736" w:rsidP="00267CA3">
            <w:pPr>
              <w:jc w:val="left"/>
              <w:rPr>
                <w:sz w:val="24"/>
                <w:szCs w:val="24"/>
                <w:lang w:val="lv-LV"/>
              </w:rPr>
            </w:pPr>
            <w:r w:rsidRPr="00224226">
              <w:rPr>
                <w:sz w:val="24"/>
                <w:szCs w:val="24"/>
                <w:lang w:val="lv-LV"/>
              </w:rPr>
              <w:t>Tāmes punktu 3.10.        Sniega  aizsargbarjeru montāža (tumši brūns).</w:t>
            </w:r>
          </w:p>
          <w:p w14:paraId="21829D87" w14:textId="77777777" w:rsidR="00AD1736" w:rsidRPr="00224226" w:rsidRDefault="00AD1736" w:rsidP="00267CA3">
            <w:pPr>
              <w:jc w:val="left"/>
              <w:rPr>
                <w:sz w:val="24"/>
                <w:szCs w:val="24"/>
                <w:lang w:val="lv-LV"/>
              </w:rPr>
            </w:pPr>
            <w:r w:rsidRPr="00224226">
              <w:rPr>
                <w:sz w:val="24"/>
                <w:szCs w:val="24"/>
                <w:lang w:val="lv-LV"/>
              </w:rPr>
              <w:t>- Vai paredzēts ir montēt skārda aizsargbarjeras, trubiņu vai kādu citu?</w:t>
            </w:r>
          </w:p>
        </w:tc>
        <w:tc>
          <w:tcPr>
            <w:tcW w:w="4388" w:type="dxa"/>
          </w:tcPr>
          <w:p w14:paraId="2AE21771" w14:textId="77777777" w:rsidR="00AD1736" w:rsidRPr="00224226" w:rsidRDefault="00AD1736" w:rsidP="00267CA3">
            <w:pPr>
              <w:rPr>
                <w:rFonts w:eastAsia="Calibri"/>
                <w:sz w:val="24"/>
                <w:szCs w:val="24"/>
                <w:lang w:val="lv-LV" w:eastAsia="en-US"/>
              </w:rPr>
            </w:pPr>
          </w:p>
          <w:p w14:paraId="3EAA03E5"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(skat.2.atbildi)</w:t>
            </w:r>
          </w:p>
          <w:p w14:paraId="1B644ABA" w14:textId="77777777" w:rsidR="00AD1736" w:rsidRPr="00224226" w:rsidRDefault="00AD1736" w:rsidP="00267CA3">
            <w:pPr>
              <w:rPr>
                <w:rFonts w:eastAsia="Calibri"/>
                <w:sz w:val="24"/>
                <w:szCs w:val="24"/>
                <w:lang w:val="lv-LV" w:eastAsia="en-US"/>
              </w:rPr>
            </w:pPr>
          </w:p>
          <w:p w14:paraId="71936F93" w14:textId="77777777" w:rsidR="00AD1736" w:rsidRPr="00224226" w:rsidRDefault="00AD1736" w:rsidP="00267CA3">
            <w:pPr>
              <w:rPr>
                <w:rFonts w:eastAsia="Calibri"/>
                <w:sz w:val="24"/>
                <w:szCs w:val="24"/>
                <w:lang w:val="lv-LV" w:eastAsia="en-US"/>
              </w:rPr>
            </w:pPr>
          </w:p>
          <w:p w14:paraId="402C4879" w14:textId="77777777" w:rsidR="00AD1736" w:rsidRPr="00224226" w:rsidRDefault="00AD1736" w:rsidP="00267CA3">
            <w:pPr>
              <w:rPr>
                <w:rFonts w:eastAsia="Calibri"/>
                <w:sz w:val="24"/>
                <w:szCs w:val="24"/>
                <w:lang w:val="lv-LV" w:eastAsia="en-US"/>
              </w:rPr>
            </w:pPr>
          </w:p>
          <w:p w14:paraId="7DE51D59" w14:textId="77777777" w:rsidR="00AD1736" w:rsidRPr="00224226" w:rsidRDefault="00AD1736" w:rsidP="00267CA3">
            <w:pPr>
              <w:rPr>
                <w:rFonts w:eastAsia="Calibri"/>
                <w:sz w:val="24"/>
                <w:szCs w:val="24"/>
                <w:lang w:val="lv-LV" w:eastAsia="en-US"/>
              </w:rPr>
            </w:pPr>
          </w:p>
          <w:p w14:paraId="59A3E5E7" w14:textId="77777777" w:rsidR="00AD1736" w:rsidRPr="00224226" w:rsidRDefault="00AD1736" w:rsidP="00267CA3">
            <w:pPr>
              <w:rPr>
                <w:rFonts w:eastAsia="Calibri"/>
                <w:sz w:val="24"/>
                <w:szCs w:val="24"/>
                <w:lang w:val="lv-LV" w:eastAsia="en-US"/>
              </w:rPr>
            </w:pPr>
          </w:p>
          <w:p w14:paraId="7FB7B172"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Īpašas prasības nav, parasti ar jumta segumu piedāvā arī sniega aizsargbarjeru, labi izskatās aizsargbarjeras no trubiņām.</w:t>
            </w:r>
          </w:p>
        </w:tc>
      </w:tr>
      <w:tr w:rsidR="00AD1736" w:rsidRPr="00224226" w14:paraId="5A8D9386" w14:textId="77777777" w:rsidTr="00267CA3">
        <w:trPr>
          <w:jc w:val="center"/>
        </w:trPr>
        <w:tc>
          <w:tcPr>
            <w:tcW w:w="988" w:type="dxa"/>
          </w:tcPr>
          <w:p w14:paraId="5F4542A9"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lastRenderedPageBreak/>
              <w:t>4.</w:t>
            </w:r>
          </w:p>
        </w:tc>
        <w:tc>
          <w:tcPr>
            <w:tcW w:w="4394" w:type="dxa"/>
          </w:tcPr>
          <w:p w14:paraId="7F1B2EA6" w14:textId="77777777" w:rsidR="00AD1736" w:rsidRPr="00224226" w:rsidRDefault="00AD1736" w:rsidP="00267CA3">
            <w:pPr>
              <w:jc w:val="left"/>
              <w:rPr>
                <w:sz w:val="24"/>
                <w:szCs w:val="24"/>
                <w:lang w:val="lv-LV"/>
              </w:rPr>
            </w:pPr>
            <w:r w:rsidRPr="00224226">
              <w:rPr>
                <w:sz w:val="24"/>
                <w:szCs w:val="24"/>
                <w:lang w:val="lv-LV"/>
              </w:rPr>
              <w:t>Attiecībā uz Objekta nosaukums:  Dzelzceļa stacijas "</w:t>
            </w:r>
            <w:proofErr w:type="spellStart"/>
            <w:r w:rsidRPr="00224226">
              <w:rPr>
                <w:sz w:val="24"/>
                <w:szCs w:val="24"/>
                <w:lang w:val="lv-LV"/>
              </w:rPr>
              <w:t>Zasulauks</w:t>
            </w:r>
            <w:proofErr w:type="spellEnd"/>
            <w:r w:rsidRPr="00224226">
              <w:rPr>
                <w:sz w:val="24"/>
                <w:szCs w:val="24"/>
                <w:lang w:val="lv-LV"/>
              </w:rPr>
              <w:t>" ēkas jumta remonts</w:t>
            </w:r>
            <w:r w:rsidRPr="00224226">
              <w:rPr>
                <w:sz w:val="24"/>
                <w:szCs w:val="24"/>
                <w:lang w:val="lv-LV"/>
              </w:rPr>
              <w:br/>
              <w:t xml:space="preserve">Tāmes punktu 3.14.        </w:t>
            </w:r>
            <w:proofErr w:type="spellStart"/>
            <w:r w:rsidRPr="00224226">
              <w:rPr>
                <w:sz w:val="24"/>
                <w:szCs w:val="24"/>
                <w:lang w:val="lv-LV"/>
              </w:rPr>
              <w:t>Zibensaizsardzības</w:t>
            </w:r>
            <w:proofErr w:type="spellEnd"/>
            <w:r w:rsidRPr="00224226">
              <w:rPr>
                <w:sz w:val="24"/>
                <w:szCs w:val="24"/>
                <w:lang w:val="lv-LV"/>
              </w:rPr>
              <w:t xml:space="preserve"> kontūra ierīkošana.</w:t>
            </w:r>
          </w:p>
          <w:p w14:paraId="50D98DAA" w14:textId="77777777" w:rsidR="00AD1736" w:rsidRPr="00224226" w:rsidRDefault="00AD1736" w:rsidP="00267CA3">
            <w:pPr>
              <w:jc w:val="left"/>
              <w:rPr>
                <w:sz w:val="24"/>
                <w:szCs w:val="24"/>
                <w:lang w:val="lv-LV"/>
              </w:rPr>
            </w:pPr>
            <w:r w:rsidRPr="00224226">
              <w:rPr>
                <w:sz w:val="24"/>
                <w:szCs w:val="24"/>
                <w:lang w:val="lv-LV"/>
              </w:rPr>
              <w:t xml:space="preserve">Tas pats arī: </w:t>
            </w:r>
            <w:r w:rsidRPr="00224226">
              <w:rPr>
                <w:sz w:val="24"/>
                <w:szCs w:val="24"/>
                <w:lang w:val="lv-LV"/>
              </w:rPr>
              <w:br/>
              <w:t>Attiecībā uz Objekta nosaukums:  Dzelzceļa stacijas "Ziemeļblāzma" ēkas jumta remonts</w:t>
            </w:r>
          </w:p>
          <w:p w14:paraId="451C9A3C" w14:textId="77777777" w:rsidR="00AD1736" w:rsidRPr="00224226" w:rsidRDefault="00AD1736" w:rsidP="00267CA3">
            <w:pPr>
              <w:jc w:val="left"/>
              <w:rPr>
                <w:sz w:val="24"/>
                <w:szCs w:val="24"/>
                <w:lang w:val="lv-LV"/>
              </w:rPr>
            </w:pPr>
            <w:r w:rsidRPr="00224226">
              <w:rPr>
                <w:sz w:val="24"/>
                <w:szCs w:val="24"/>
                <w:lang w:val="lv-LV"/>
              </w:rPr>
              <w:t xml:space="preserve">Tāmes punktu 3.11.        </w:t>
            </w:r>
            <w:proofErr w:type="spellStart"/>
            <w:r w:rsidRPr="00224226">
              <w:rPr>
                <w:sz w:val="24"/>
                <w:szCs w:val="24"/>
                <w:lang w:val="lv-LV"/>
              </w:rPr>
              <w:t>Zibensaizsardzības</w:t>
            </w:r>
            <w:proofErr w:type="spellEnd"/>
            <w:r w:rsidRPr="00224226">
              <w:rPr>
                <w:sz w:val="24"/>
                <w:szCs w:val="24"/>
                <w:lang w:val="lv-LV"/>
              </w:rPr>
              <w:t xml:space="preserve"> kontūra ierīkošana.</w:t>
            </w:r>
            <w:r w:rsidRPr="00224226">
              <w:rPr>
                <w:sz w:val="24"/>
                <w:szCs w:val="24"/>
                <w:lang w:val="lv-LV"/>
              </w:rPr>
              <w:br/>
              <w:t xml:space="preserve">- Vai ir </w:t>
            </w:r>
            <w:proofErr w:type="spellStart"/>
            <w:r w:rsidRPr="00224226">
              <w:rPr>
                <w:sz w:val="24"/>
                <w:szCs w:val="24"/>
                <w:lang w:val="lv-LV"/>
              </w:rPr>
              <w:t>zibensaizsardzības</w:t>
            </w:r>
            <w:proofErr w:type="spellEnd"/>
            <w:r w:rsidRPr="00224226">
              <w:rPr>
                <w:sz w:val="24"/>
                <w:szCs w:val="24"/>
                <w:lang w:val="lv-LV"/>
              </w:rPr>
              <w:t xml:space="preserve"> sistēmas montāžas projekts vai nosacījumi? Pēc kā vadīties būvniekam?</w:t>
            </w:r>
          </w:p>
        </w:tc>
        <w:tc>
          <w:tcPr>
            <w:tcW w:w="4388" w:type="dxa"/>
          </w:tcPr>
          <w:p w14:paraId="7555C3B7" w14:textId="77777777" w:rsidR="00AD1736" w:rsidRPr="00224226" w:rsidRDefault="00AD1736" w:rsidP="00267CA3">
            <w:pPr>
              <w:rPr>
                <w:rFonts w:eastAsia="Calibri"/>
                <w:sz w:val="24"/>
                <w:szCs w:val="24"/>
                <w:lang w:val="lv-LV" w:eastAsia="en-US"/>
              </w:rPr>
            </w:pPr>
          </w:p>
          <w:p w14:paraId="76422E1A"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(skat.2.atbildi)</w:t>
            </w:r>
          </w:p>
          <w:p w14:paraId="63EF8791" w14:textId="77777777" w:rsidR="00AD1736" w:rsidRPr="00224226" w:rsidRDefault="00AD1736" w:rsidP="00267CA3">
            <w:pPr>
              <w:rPr>
                <w:rFonts w:eastAsia="Calibri"/>
                <w:sz w:val="24"/>
                <w:szCs w:val="24"/>
                <w:lang w:val="lv-LV" w:eastAsia="en-US"/>
              </w:rPr>
            </w:pPr>
          </w:p>
          <w:p w14:paraId="7730A3B5" w14:textId="77777777" w:rsidR="00AD1736" w:rsidRPr="00224226" w:rsidRDefault="00AD1736" w:rsidP="00267CA3">
            <w:pPr>
              <w:rPr>
                <w:rFonts w:eastAsia="Calibri"/>
                <w:sz w:val="24"/>
                <w:szCs w:val="24"/>
                <w:lang w:val="lv-LV" w:eastAsia="en-US"/>
              </w:rPr>
            </w:pPr>
          </w:p>
          <w:p w14:paraId="20055563" w14:textId="77777777" w:rsidR="00AD1736" w:rsidRPr="00224226" w:rsidRDefault="00AD1736" w:rsidP="00267CA3">
            <w:pPr>
              <w:rPr>
                <w:rFonts w:eastAsia="Calibri"/>
                <w:sz w:val="24"/>
                <w:szCs w:val="24"/>
                <w:lang w:val="lv-LV" w:eastAsia="en-US"/>
              </w:rPr>
            </w:pPr>
          </w:p>
          <w:p w14:paraId="07A9698C" w14:textId="77777777" w:rsidR="00AD1736" w:rsidRPr="00224226" w:rsidRDefault="00AD1736" w:rsidP="00267CA3">
            <w:pPr>
              <w:rPr>
                <w:rFonts w:eastAsia="Calibri"/>
                <w:sz w:val="24"/>
                <w:szCs w:val="24"/>
                <w:lang w:val="lv-LV" w:eastAsia="en-US"/>
              </w:rPr>
            </w:pPr>
          </w:p>
          <w:p w14:paraId="0942C447" w14:textId="77777777" w:rsidR="00AD1736" w:rsidRPr="00224226" w:rsidRDefault="00AD1736" w:rsidP="00267CA3">
            <w:pPr>
              <w:rPr>
                <w:rFonts w:eastAsia="Calibri"/>
                <w:sz w:val="24"/>
                <w:szCs w:val="24"/>
                <w:lang w:val="lv-LV" w:eastAsia="en-US"/>
              </w:rPr>
            </w:pPr>
          </w:p>
          <w:p w14:paraId="617095E8" w14:textId="77777777" w:rsidR="00AD1736" w:rsidRPr="00224226" w:rsidRDefault="00AD1736" w:rsidP="00267CA3">
            <w:pPr>
              <w:rPr>
                <w:rFonts w:eastAsia="Calibri"/>
                <w:sz w:val="24"/>
                <w:szCs w:val="24"/>
                <w:lang w:val="lv-LV" w:eastAsia="en-US"/>
              </w:rPr>
            </w:pPr>
          </w:p>
          <w:p w14:paraId="3733D560" w14:textId="77777777" w:rsidR="00AD1736" w:rsidRPr="00224226" w:rsidRDefault="00AD1736" w:rsidP="00267CA3">
            <w:pPr>
              <w:rPr>
                <w:rFonts w:eastAsia="Calibri"/>
                <w:sz w:val="24"/>
                <w:szCs w:val="24"/>
                <w:lang w:val="lv-LV" w:eastAsia="en-US"/>
              </w:rPr>
            </w:pPr>
            <w:proofErr w:type="spellStart"/>
            <w:r w:rsidRPr="00224226">
              <w:rPr>
                <w:rFonts w:eastAsia="Calibri"/>
                <w:sz w:val="24"/>
                <w:szCs w:val="24"/>
                <w:lang w:val="lv-LV" w:eastAsia="en-US"/>
              </w:rPr>
              <w:t>Zibensaizsardzības</w:t>
            </w:r>
            <w:proofErr w:type="spellEnd"/>
            <w:r w:rsidRPr="00224226">
              <w:rPr>
                <w:rFonts w:eastAsia="Calibri"/>
                <w:sz w:val="24"/>
                <w:szCs w:val="24"/>
                <w:lang w:val="lv-LV" w:eastAsia="en-US"/>
              </w:rPr>
              <w:t xml:space="preserve"> montāžas projektu izstrādā uzņēmējs atbilstoši būvnormatīviem.</w:t>
            </w:r>
          </w:p>
        </w:tc>
      </w:tr>
      <w:tr w:rsidR="00AD1736" w:rsidRPr="00224226" w14:paraId="74D90A1C" w14:textId="77777777" w:rsidTr="00267CA3">
        <w:trPr>
          <w:jc w:val="center"/>
        </w:trPr>
        <w:tc>
          <w:tcPr>
            <w:tcW w:w="988" w:type="dxa"/>
          </w:tcPr>
          <w:p w14:paraId="046158BF"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t>5.</w:t>
            </w:r>
          </w:p>
        </w:tc>
        <w:tc>
          <w:tcPr>
            <w:tcW w:w="4394" w:type="dxa"/>
          </w:tcPr>
          <w:p w14:paraId="25963B6E" w14:textId="77777777" w:rsidR="00AD1736" w:rsidRPr="00224226" w:rsidRDefault="00AD1736" w:rsidP="00267CA3">
            <w:pPr>
              <w:jc w:val="left"/>
              <w:rPr>
                <w:sz w:val="24"/>
                <w:szCs w:val="24"/>
                <w:lang w:val="lv-LV"/>
              </w:rPr>
            </w:pPr>
            <w:r w:rsidRPr="00224226">
              <w:rPr>
                <w:sz w:val="24"/>
                <w:szCs w:val="24"/>
                <w:lang w:val="lv-LV"/>
              </w:rPr>
              <w:t>Attiecībā uz Objekta nosaukums:  Dzelzceļa stacijas "</w:t>
            </w:r>
            <w:proofErr w:type="spellStart"/>
            <w:r w:rsidRPr="00224226">
              <w:rPr>
                <w:sz w:val="24"/>
                <w:szCs w:val="24"/>
                <w:lang w:val="lv-LV"/>
              </w:rPr>
              <w:t>Zasulauks</w:t>
            </w:r>
            <w:proofErr w:type="spellEnd"/>
            <w:r w:rsidRPr="00224226">
              <w:rPr>
                <w:sz w:val="24"/>
                <w:szCs w:val="24"/>
                <w:lang w:val="lv-LV"/>
              </w:rPr>
              <w:t>" ēkas jumta remonts</w:t>
            </w:r>
            <w:r w:rsidRPr="00224226">
              <w:rPr>
                <w:sz w:val="24"/>
                <w:szCs w:val="24"/>
                <w:lang w:val="lv-LV"/>
              </w:rPr>
              <w:br/>
              <w:t>Tāmes punktu 3.16.        Automātiski atveramu durvju bloka montāža.</w:t>
            </w:r>
          </w:p>
          <w:p w14:paraId="0F72AC9A" w14:textId="77777777" w:rsidR="00AD1736" w:rsidRPr="00224226" w:rsidRDefault="00AD1736" w:rsidP="00267CA3">
            <w:pPr>
              <w:jc w:val="left"/>
              <w:rPr>
                <w:sz w:val="24"/>
                <w:szCs w:val="24"/>
                <w:lang w:val="lv-LV"/>
              </w:rPr>
            </w:pPr>
            <w:r w:rsidRPr="00224226">
              <w:rPr>
                <w:sz w:val="24"/>
                <w:szCs w:val="24"/>
                <w:lang w:val="lv-LV"/>
              </w:rPr>
              <w:t>- Vai ir sistēmas montāžas projekts vai nosacījumi? Pēc kā vadīties būvniekam?</w:t>
            </w:r>
          </w:p>
        </w:tc>
        <w:tc>
          <w:tcPr>
            <w:tcW w:w="4388" w:type="dxa"/>
          </w:tcPr>
          <w:p w14:paraId="3D5447EB" w14:textId="77777777" w:rsidR="00AD1736" w:rsidRPr="00224226" w:rsidRDefault="00AD1736" w:rsidP="00267CA3">
            <w:pPr>
              <w:rPr>
                <w:rFonts w:eastAsia="Calibri"/>
                <w:sz w:val="24"/>
                <w:szCs w:val="24"/>
                <w:lang w:val="lv-LV" w:eastAsia="en-US"/>
              </w:rPr>
            </w:pPr>
            <w:r w:rsidRPr="00224226">
              <w:rPr>
                <w:rFonts w:eastAsia="Calibri"/>
                <w:sz w:val="24"/>
                <w:szCs w:val="24"/>
                <w:lang w:val="lv-LV" w:eastAsia="en-US"/>
              </w:rPr>
              <w:t>(skat.2.atbildi)</w:t>
            </w:r>
          </w:p>
          <w:p w14:paraId="6557D025" w14:textId="77777777" w:rsidR="00AD1736" w:rsidRPr="00224226" w:rsidRDefault="00AD1736" w:rsidP="00267CA3">
            <w:pPr>
              <w:rPr>
                <w:rFonts w:eastAsia="Calibri"/>
                <w:sz w:val="24"/>
                <w:szCs w:val="24"/>
                <w:lang w:val="lv-LV" w:eastAsia="en-US"/>
              </w:rPr>
            </w:pPr>
          </w:p>
        </w:tc>
      </w:tr>
      <w:tr w:rsidR="00AD1736" w:rsidRPr="00224226" w14:paraId="533E2737" w14:textId="77777777" w:rsidTr="00267CA3">
        <w:trPr>
          <w:jc w:val="center"/>
        </w:trPr>
        <w:tc>
          <w:tcPr>
            <w:tcW w:w="988" w:type="dxa"/>
          </w:tcPr>
          <w:p w14:paraId="4565B8E0"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t>6.</w:t>
            </w:r>
          </w:p>
        </w:tc>
        <w:tc>
          <w:tcPr>
            <w:tcW w:w="4394" w:type="dxa"/>
          </w:tcPr>
          <w:p w14:paraId="6A724802" w14:textId="77777777" w:rsidR="00AD1736" w:rsidRPr="00224226" w:rsidRDefault="00AD1736" w:rsidP="00267CA3">
            <w:pPr>
              <w:jc w:val="left"/>
              <w:rPr>
                <w:sz w:val="24"/>
                <w:szCs w:val="24"/>
                <w:lang w:val="lv-LV"/>
              </w:rPr>
            </w:pPr>
            <w:r w:rsidRPr="00224226">
              <w:rPr>
                <w:sz w:val="24"/>
                <w:szCs w:val="24"/>
                <w:lang w:val="lv-LV"/>
              </w:rPr>
              <w:t>Attiecībā uz Objekta nosaukums:  Dzelzceļa stacijas "Ziemeļblāzma" ēkas jumta remonts</w:t>
            </w:r>
            <w:r w:rsidRPr="00224226">
              <w:rPr>
                <w:sz w:val="24"/>
                <w:szCs w:val="24"/>
                <w:lang w:val="lv-LV"/>
              </w:rPr>
              <w:br/>
              <w:t xml:space="preserve">Tāmes punktu 3.4.        Viļņoto </w:t>
            </w:r>
            <w:proofErr w:type="spellStart"/>
            <w:r w:rsidRPr="00224226">
              <w:rPr>
                <w:sz w:val="24"/>
                <w:szCs w:val="24"/>
                <w:lang w:val="lv-LV"/>
              </w:rPr>
              <w:t>dakstiņveida</w:t>
            </w:r>
            <w:proofErr w:type="spellEnd"/>
            <w:r w:rsidRPr="00224226">
              <w:rPr>
                <w:sz w:val="24"/>
                <w:szCs w:val="24"/>
                <w:lang w:val="lv-LV"/>
              </w:rPr>
              <w:t xml:space="preserve"> profila lokšņu ar PVDF pārklājumu MONTERREY TS 39-350-1100 vai ekvivalentu segumu (0,5 mm biezumā, ar šķērsviļņa soli 350 mm un sedzošo platumu 1100, tumši brūns) montāža.</w:t>
            </w:r>
            <w:r w:rsidRPr="00224226">
              <w:rPr>
                <w:sz w:val="24"/>
                <w:szCs w:val="24"/>
                <w:lang w:val="lv-LV"/>
              </w:rPr>
              <w:br/>
              <w:t xml:space="preserve">- Sazinoties ar ražotāju RUUKKI tika saņemta informācija, ka jumti no PVDF pārklājuma netiek ražoti. Šis pārklājums tiek izmantots fasāžu materiāliem un tāds tonis vispār nav pieejams ar šo pārklājuma veidu. RUUKKI piedāvājumā ir </w:t>
            </w:r>
            <w:proofErr w:type="spellStart"/>
            <w:r w:rsidRPr="00224226">
              <w:rPr>
                <w:sz w:val="24"/>
                <w:szCs w:val="24"/>
                <w:lang w:val="lv-LV"/>
              </w:rPr>
              <w:t>Monterrey</w:t>
            </w:r>
            <w:proofErr w:type="spellEnd"/>
            <w:r w:rsidRPr="00224226">
              <w:rPr>
                <w:sz w:val="24"/>
                <w:szCs w:val="24"/>
                <w:lang w:val="lv-LV"/>
              </w:rPr>
              <w:t xml:space="preserve"> FEB 30, 40 un 50, kur skaitlis norāda garantiju, līdz ar ko mainās arī pārklājuma veids - 30 ir poliesters (spīdīgs), 40 - </w:t>
            </w:r>
            <w:proofErr w:type="spellStart"/>
            <w:r w:rsidRPr="00224226">
              <w:rPr>
                <w:sz w:val="24"/>
                <w:szCs w:val="24"/>
                <w:lang w:val="lv-LV"/>
              </w:rPr>
              <w:t>pusmatēts</w:t>
            </w:r>
            <w:proofErr w:type="spellEnd"/>
            <w:r w:rsidRPr="00224226">
              <w:rPr>
                <w:sz w:val="24"/>
                <w:szCs w:val="24"/>
                <w:lang w:val="lv-LV"/>
              </w:rPr>
              <w:t>, 50 - matēts. Cenas protams ir atšķirīgas. Lūdzam specificēt vēlamo materiālu.</w:t>
            </w:r>
          </w:p>
        </w:tc>
        <w:tc>
          <w:tcPr>
            <w:tcW w:w="4388" w:type="dxa"/>
          </w:tcPr>
          <w:p w14:paraId="3D415E60" w14:textId="77777777" w:rsidR="00AD1736" w:rsidRPr="00224226" w:rsidRDefault="00AD1736" w:rsidP="00267CA3">
            <w:pPr>
              <w:rPr>
                <w:rFonts w:eastAsia="Calibri"/>
                <w:sz w:val="24"/>
                <w:szCs w:val="24"/>
                <w:lang w:val="lv-LV" w:eastAsia="en-US"/>
              </w:rPr>
            </w:pPr>
          </w:p>
          <w:p w14:paraId="0FCE6710" w14:textId="77777777" w:rsidR="00AD1736" w:rsidRPr="00224226" w:rsidRDefault="00AD1736" w:rsidP="00267CA3">
            <w:pPr>
              <w:rPr>
                <w:rFonts w:eastAsia="Calibri"/>
                <w:sz w:val="24"/>
                <w:szCs w:val="24"/>
                <w:lang w:val="lv-LV" w:eastAsia="en-US"/>
              </w:rPr>
            </w:pPr>
            <w:r w:rsidRPr="00224226">
              <w:rPr>
                <w:sz w:val="24"/>
                <w:szCs w:val="24"/>
                <w:lang w:val="lv-LV"/>
              </w:rPr>
              <w:t xml:space="preserve">Jumta segums </w:t>
            </w:r>
            <w:proofErr w:type="spellStart"/>
            <w:r w:rsidRPr="00224226">
              <w:rPr>
                <w:sz w:val="24"/>
                <w:szCs w:val="24"/>
                <w:lang w:val="lv-LV"/>
              </w:rPr>
              <w:t>Monterrey</w:t>
            </w:r>
            <w:proofErr w:type="spellEnd"/>
            <w:r w:rsidRPr="00224226">
              <w:rPr>
                <w:sz w:val="24"/>
                <w:szCs w:val="24"/>
                <w:lang w:val="lv-LV"/>
              </w:rPr>
              <w:t xml:space="preserve"> FEB  50, vai ekvivalents un tās pašas firmas sniega aizsargbarjera.</w:t>
            </w:r>
          </w:p>
          <w:p w14:paraId="7C5490A6" w14:textId="77777777" w:rsidR="00AD1736" w:rsidRPr="00224226" w:rsidRDefault="00AD1736" w:rsidP="00267CA3">
            <w:pPr>
              <w:rPr>
                <w:rFonts w:eastAsia="Calibri"/>
                <w:sz w:val="24"/>
                <w:szCs w:val="24"/>
                <w:lang w:val="lv-LV" w:eastAsia="en-US"/>
              </w:rPr>
            </w:pPr>
          </w:p>
        </w:tc>
      </w:tr>
      <w:tr w:rsidR="00AD1736" w:rsidRPr="00224226" w14:paraId="6A42355A" w14:textId="77777777" w:rsidTr="00267CA3">
        <w:trPr>
          <w:jc w:val="center"/>
        </w:trPr>
        <w:tc>
          <w:tcPr>
            <w:tcW w:w="988" w:type="dxa"/>
            <w:shd w:val="clear" w:color="auto" w:fill="92D050"/>
          </w:tcPr>
          <w:p w14:paraId="12734D03" w14:textId="77777777" w:rsidR="00AD1736" w:rsidRPr="00224226" w:rsidRDefault="00AD1736" w:rsidP="00267CA3">
            <w:pPr>
              <w:pStyle w:val="ListParagraph"/>
              <w:ind w:left="0" w:right="282"/>
              <w:jc w:val="center"/>
              <w:rPr>
                <w:b/>
                <w:sz w:val="24"/>
                <w:szCs w:val="24"/>
                <w:lang w:val="lv-LV"/>
              </w:rPr>
            </w:pPr>
          </w:p>
        </w:tc>
        <w:tc>
          <w:tcPr>
            <w:tcW w:w="4394" w:type="dxa"/>
            <w:shd w:val="clear" w:color="auto" w:fill="92D050"/>
          </w:tcPr>
          <w:p w14:paraId="6C5E325F" w14:textId="77777777" w:rsidR="00AD1736" w:rsidRPr="00224226" w:rsidRDefault="00AD1736" w:rsidP="00267CA3">
            <w:pPr>
              <w:jc w:val="center"/>
              <w:rPr>
                <w:i/>
                <w:sz w:val="24"/>
                <w:szCs w:val="24"/>
                <w:lang w:val="lv-LV"/>
              </w:rPr>
            </w:pPr>
            <w:r w:rsidRPr="00224226">
              <w:rPr>
                <w:i/>
                <w:sz w:val="24"/>
                <w:szCs w:val="24"/>
                <w:lang w:val="lv-LV"/>
              </w:rPr>
              <w:t>06.11.2019.</w:t>
            </w:r>
          </w:p>
        </w:tc>
        <w:tc>
          <w:tcPr>
            <w:tcW w:w="4388" w:type="dxa"/>
            <w:shd w:val="clear" w:color="auto" w:fill="92D050"/>
          </w:tcPr>
          <w:p w14:paraId="74BF4EE2" w14:textId="77777777" w:rsidR="00AD1736" w:rsidRPr="00224226" w:rsidRDefault="00AD1736" w:rsidP="00267CA3">
            <w:pPr>
              <w:jc w:val="center"/>
              <w:rPr>
                <w:rFonts w:eastAsia="Calibri"/>
                <w:i/>
                <w:sz w:val="24"/>
                <w:szCs w:val="24"/>
                <w:lang w:val="lv-LV" w:eastAsia="en-US"/>
              </w:rPr>
            </w:pPr>
            <w:r w:rsidRPr="00224226">
              <w:rPr>
                <w:rFonts w:eastAsia="Calibri"/>
                <w:i/>
                <w:sz w:val="24"/>
                <w:szCs w:val="24"/>
                <w:lang w:val="lv-LV" w:eastAsia="en-US"/>
              </w:rPr>
              <w:t>07.11.2019.</w:t>
            </w:r>
          </w:p>
        </w:tc>
      </w:tr>
      <w:tr w:rsidR="00AD1736" w:rsidRPr="00224226" w14:paraId="554DB9AC" w14:textId="77777777" w:rsidTr="00267CA3">
        <w:trPr>
          <w:jc w:val="center"/>
        </w:trPr>
        <w:tc>
          <w:tcPr>
            <w:tcW w:w="988" w:type="dxa"/>
          </w:tcPr>
          <w:p w14:paraId="0905A447" w14:textId="77777777" w:rsidR="00AD1736" w:rsidRPr="00224226" w:rsidRDefault="00AD1736" w:rsidP="00267CA3">
            <w:pPr>
              <w:pStyle w:val="ListParagraph"/>
              <w:ind w:left="0" w:right="282"/>
              <w:jc w:val="center"/>
              <w:rPr>
                <w:b/>
                <w:sz w:val="24"/>
                <w:szCs w:val="24"/>
                <w:lang w:val="lv-LV"/>
              </w:rPr>
            </w:pPr>
            <w:r w:rsidRPr="00224226">
              <w:rPr>
                <w:b/>
                <w:sz w:val="24"/>
                <w:szCs w:val="24"/>
                <w:lang w:val="lv-LV"/>
              </w:rPr>
              <w:t>1.</w:t>
            </w:r>
          </w:p>
        </w:tc>
        <w:tc>
          <w:tcPr>
            <w:tcW w:w="4394" w:type="dxa"/>
          </w:tcPr>
          <w:p w14:paraId="387BDE75" w14:textId="77777777" w:rsidR="00AD1736" w:rsidRPr="00224226" w:rsidRDefault="00AD1736" w:rsidP="00267CA3">
            <w:pPr>
              <w:pStyle w:val="NormalWeb"/>
              <w:spacing w:before="0" w:beforeAutospacing="0" w:after="0" w:afterAutospacing="0"/>
            </w:pPr>
            <w:r w:rsidRPr="00224226">
              <w:t>Ņemot vērā norādītos veicamos būvniecības darbus ir skaidri redzams, ka norādītais būvniecības realizācijas termiņš ir diezgan apdraudēts, jo:</w:t>
            </w:r>
          </w:p>
          <w:p w14:paraId="0311FDDB" w14:textId="77777777" w:rsidR="00AD1736" w:rsidRPr="00224226" w:rsidRDefault="00AD1736" w:rsidP="00267CA3">
            <w:pPr>
              <w:pStyle w:val="NormalWeb"/>
              <w:spacing w:before="0" w:beforeAutospacing="0" w:after="0" w:afterAutospacing="0"/>
            </w:pPr>
            <w:r w:rsidRPr="00224226">
              <w:t>1. Nepieciešama veicamo darbu saskaņošana, kas var prasīt ievērojamu laiku, jo nav automātisko durvju un zibens aizsardzības sistēmas projekta un specifikācijas.</w:t>
            </w:r>
          </w:p>
          <w:p w14:paraId="64447BBF" w14:textId="77777777" w:rsidR="00AD1736" w:rsidRPr="00224226" w:rsidRDefault="00AD1736" w:rsidP="00267CA3">
            <w:pPr>
              <w:pStyle w:val="NormalWeb"/>
              <w:spacing w:before="0" w:beforeAutospacing="0" w:after="0" w:afterAutospacing="0"/>
            </w:pPr>
            <w:r w:rsidRPr="00224226">
              <w:t>2. Darbu izpildi ietekmē arī laika apstākļi.</w:t>
            </w:r>
          </w:p>
          <w:p w14:paraId="324C2947" w14:textId="77777777" w:rsidR="00AD1736" w:rsidRPr="00224226" w:rsidRDefault="00AD1736" w:rsidP="00267CA3">
            <w:pPr>
              <w:pStyle w:val="NormalWeb"/>
              <w:spacing w:before="0" w:beforeAutospacing="0" w:after="0" w:afterAutospacing="0"/>
            </w:pPr>
            <w:r w:rsidRPr="00224226">
              <w:t>3. Automātisko durvju izgatavošanas laiks vien var aizņemt no 4-8 nedēļām. Plus klāt montāža.</w:t>
            </w:r>
          </w:p>
          <w:p w14:paraId="2ED85FF0" w14:textId="77777777" w:rsidR="00AD1736" w:rsidRPr="00224226" w:rsidRDefault="00AD1736" w:rsidP="00267CA3">
            <w:pPr>
              <w:pStyle w:val="NormalWeb"/>
              <w:spacing w:before="0" w:beforeAutospacing="0" w:after="0" w:afterAutospacing="0"/>
            </w:pPr>
            <w:r w:rsidRPr="00224226">
              <w:t>Normāls līguma izpildes laiks šādā situācijā būtu 3 kalendārie mēneši, kaut arī pats būvniecības laiks var ietilpt arī 4 nedēļās.</w:t>
            </w:r>
          </w:p>
          <w:p w14:paraId="3DE5372E" w14:textId="77777777" w:rsidR="00AD1736" w:rsidRPr="00224226" w:rsidRDefault="00AD1736" w:rsidP="00267CA3">
            <w:pPr>
              <w:pStyle w:val="NormalWeb"/>
              <w:spacing w:before="0" w:beforeAutospacing="0" w:after="0" w:afterAutospacing="0"/>
            </w:pPr>
            <w:r w:rsidRPr="00224226">
              <w:t>Ņemot vērā šo situāciju ir jautājums: Vai ir pieļaujama līguma termiņa pagarināšana bez soda sankcijām?</w:t>
            </w:r>
          </w:p>
        </w:tc>
        <w:tc>
          <w:tcPr>
            <w:tcW w:w="4388" w:type="dxa"/>
          </w:tcPr>
          <w:p w14:paraId="1D82B402" w14:textId="77777777" w:rsidR="00AD1736" w:rsidRPr="00224226" w:rsidRDefault="00AD1736" w:rsidP="00267CA3">
            <w:pPr>
              <w:rPr>
                <w:sz w:val="24"/>
                <w:szCs w:val="24"/>
                <w:lang w:val="lv-LV" w:eastAsia="en-US"/>
              </w:rPr>
            </w:pPr>
            <w:proofErr w:type="spellStart"/>
            <w:r w:rsidRPr="00224226">
              <w:rPr>
                <w:sz w:val="24"/>
                <w:szCs w:val="24"/>
                <w:lang w:eastAsia="en-US"/>
              </w:rPr>
              <w:t>Līguma</w:t>
            </w:r>
            <w:proofErr w:type="spellEnd"/>
            <w:r w:rsidRPr="00224226">
              <w:rPr>
                <w:sz w:val="24"/>
                <w:szCs w:val="24"/>
                <w:lang w:eastAsia="en-US"/>
              </w:rPr>
              <w:t xml:space="preserve"> </w:t>
            </w:r>
            <w:proofErr w:type="spellStart"/>
            <w:r w:rsidRPr="00224226">
              <w:rPr>
                <w:sz w:val="24"/>
                <w:szCs w:val="24"/>
                <w:lang w:eastAsia="en-US"/>
              </w:rPr>
              <w:t>termiņa</w:t>
            </w:r>
            <w:proofErr w:type="spellEnd"/>
            <w:r w:rsidRPr="00224226">
              <w:rPr>
                <w:sz w:val="24"/>
                <w:szCs w:val="24"/>
                <w:lang w:eastAsia="en-US"/>
              </w:rPr>
              <w:t xml:space="preserve"> </w:t>
            </w:r>
            <w:proofErr w:type="spellStart"/>
            <w:r w:rsidRPr="00224226">
              <w:rPr>
                <w:sz w:val="24"/>
                <w:szCs w:val="24"/>
                <w:lang w:eastAsia="en-US"/>
              </w:rPr>
              <w:t>pagarināšana</w:t>
            </w:r>
            <w:proofErr w:type="spellEnd"/>
            <w:r w:rsidRPr="00224226">
              <w:rPr>
                <w:sz w:val="24"/>
                <w:szCs w:val="24"/>
                <w:lang w:eastAsia="en-US"/>
              </w:rPr>
              <w:t xml:space="preserve"> </w:t>
            </w:r>
            <w:proofErr w:type="spellStart"/>
            <w:r w:rsidRPr="00224226">
              <w:rPr>
                <w:sz w:val="24"/>
                <w:szCs w:val="24"/>
                <w:lang w:eastAsia="en-US"/>
              </w:rPr>
              <w:t>netiek</w:t>
            </w:r>
            <w:proofErr w:type="spellEnd"/>
            <w:r w:rsidRPr="00224226">
              <w:rPr>
                <w:sz w:val="24"/>
                <w:szCs w:val="24"/>
                <w:lang w:eastAsia="en-US"/>
              </w:rPr>
              <w:t xml:space="preserve"> </w:t>
            </w:r>
            <w:proofErr w:type="spellStart"/>
            <w:r w:rsidRPr="00224226">
              <w:rPr>
                <w:sz w:val="24"/>
                <w:szCs w:val="24"/>
                <w:lang w:eastAsia="en-US"/>
              </w:rPr>
              <w:t>pieļauta</w:t>
            </w:r>
            <w:proofErr w:type="spellEnd"/>
            <w:r w:rsidRPr="00224226">
              <w:rPr>
                <w:sz w:val="24"/>
                <w:szCs w:val="24"/>
                <w:lang w:eastAsia="en-US"/>
              </w:rPr>
              <w:t>.</w:t>
            </w:r>
          </w:p>
          <w:p w14:paraId="3A407177" w14:textId="77777777" w:rsidR="00AD1736" w:rsidRPr="00224226" w:rsidRDefault="00AD1736" w:rsidP="00267CA3">
            <w:pPr>
              <w:rPr>
                <w:rFonts w:eastAsia="Calibri"/>
                <w:sz w:val="24"/>
                <w:szCs w:val="24"/>
                <w:lang w:val="lv-LV" w:eastAsia="en-US"/>
              </w:rPr>
            </w:pPr>
          </w:p>
        </w:tc>
      </w:tr>
    </w:tbl>
    <w:p w14:paraId="065128C3" w14:textId="77777777" w:rsidR="00946A3F" w:rsidRPr="00AD1736" w:rsidRDefault="00946A3F">
      <w:pPr>
        <w:rPr>
          <w:lang w:val="lv-LV"/>
        </w:rPr>
      </w:pPr>
      <w:bookmarkStart w:id="0" w:name="_GoBack"/>
      <w:bookmarkEnd w:id="0"/>
    </w:p>
    <w:sectPr w:rsidR="00946A3F" w:rsidRPr="00AD17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3F"/>
    <w:rsid w:val="00946A3F"/>
    <w:rsid w:val="00AD1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7DFF1-8508-4120-8CE1-D8DFC70D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736"/>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Virsraksti,2,H&amp;P List Paragraph,Strip,Normal bullet 2,Bullet list,Bullets,Numbered List,List Paragraph1,Paragraph,Bullet point 1,1st level - Bullet List Paragraph"/>
    <w:basedOn w:val="Normal"/>
    <w:link w:val="ListParagraphChar"/>
    <w:uiPriority w:val="34"/>
    <w:qFormat/>
    <w:rsid w:val="00AD1736"/>
    <w:pPr>
      <w:ind w:left="720"/>
      <w:contextualSpacing/>
    </w:pPr>
  </w:style>
  <w:style w:type="character" w:customStyle="1" w:styleId="ListParagraphChar">
    <w:name w:val="List Paragraph Char"/>
    <w:aliases w:val="Saistīto dokumentu saraksts Char,Syle 1 Char,Numurets Char,PPS_Bullet Char,Virsraksti Char,2 Char,H&amp;P List Paragraph Char,Strip Char,Normal bullet 2 Char,Bullet list Char,Bullets Char,Numbered List Char,List Paragraph1 Char"/>
    <w:link w:val="ListParagraph"/>
    <w:uiPriority w:val="34"/>
    <w:qFormat/>
    <w:locked/>
    <w:rsid w:val="00AD1736"/>
    <w:rPr>
      <w:rFonts w:ascii="Times New Roman" w:eastAsia="Times New Roman" w:hAnsi="Times New Roman" w:cs="Times New Roman"/>
      <w:sz w:val="20"/>
      <w:szCs w:val="20"/>
      <w:lang w:val="en-US" w:eastAsia="lv-LV"/>
    </w:rPr>
  </w:style>
  <w:style w:type="paragraph" w:styleId="NormalWeb">
    <w:name w:val="Normal (Web)"/>
    <w:basedOn w:val="Normal"/>
    <w:uiPriority w:val="99"/>
    <w:unhideWhenUsed/>
    <w:rsid w:val="00AD1736"/>
    <w:pPr>
      <w:spacing w:before="100" w:beforeAutospacing="1" w:after="100" w:afterAutospacing="1"/>
    </w:pPr>
    <w:rPr>
      <w:sz w:val="24"/>
      <w:szCs w:val="24"/>
      <w:lang w:val="lv-LV"/>
    </w:rPr>
  </w:style>
  <w:style w:type="table" w:styleId="TableGrid">
    <w:name w:val="Table Grid"/>
    <w:basedOn w:val="TableNormal"/>
    <w:uiPriority w:val="39"/>
    <w:rsid w:val="00AD173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3208</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2019-11-07T12:47:00Z</dcterms:created>
  <dcterms:modified xsi:type="dcterms:W3CDTF">2019-11-07T12:47:00Z</dcterms:modified>
</cp:coreProperties>
</file>