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86523" w14:textId="77777777" w:rsidR="005C15E6" w:rsidRPr="00AB3184" w:rsidRDefault="005C15E6" w:rsidP="005C15E6">
      <w:pPr>
        <w:tabs>
          <w:tab w:val="left" w:pos="3760"/>
        </w:tabs>
        <w:ind w:left="-284" w:right="-908" w:firstLine="4395"/>
        <w:jc w:val="right"/>
        <w:rPr>
          <w:rFonts w:eastAsia="Calibri"/>
          <w:i/>
          <w:szCs w:val="24"/>
          <w:lang w:eastAsia="lv-LV"/>
        </w:rPr>
      </w:pPr>
      <w:r w:rsidRPr="00AB3184">
        <w:rPr>
          <w:rFonts w:eastAsia="Calibri"/>
          <w:i/>
          <w:szCs w:val="24"/>
          <w:lang w:eastAsia="lv-LV"/>
        </w:rPr>
        <w:t>APSTIPRINĀTS:</w:t>
      </w:r>
    </w:p>
    <w:p w14:paraId="604CFAA1" w14:textId="0577A9AA" w:rsidR="005C15E6" w:rsidRPr="008951BD" w:rsidRDefault="005C15E6" w:rsidP="005C15E6">
      <w:pPr>
        <w:tabs>
          <w:tab w:val="left" w:pos="3760"/>
        </w:tabs>
        <w:ind w:right="-908"/>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18.maija</w:t>
      </w:r>
      <w:r w:rsidRPr="008951BD">
        <w:rPr>
          <w:rFonts w:eastAsia="Arial Unicode MS"/>
          <w:i/>
          <w:szCs w:val="24"/>
          <w:lang w:eastAsia="lv-LV"/>
        </w:rPr>
        <w:t xml:space="preserve"> </w:t>
      </w:r>
    </w:p>
    <w:p w14:paraId="0437E9B4" w14:textId="5A5570BF" w:rsidR="005C15E6" w:rsidRDefault="005C15E6" w:rsidP="005C15E6">
      <w:pPr>
        <w:ind w:right="-908"/>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2</w:t>
      </w:r>
    </w:p>
    <w:p w14:paraId="55E86070" w14:textId="7792F71A" w:rsidR="0098236C" w:rsidRDefault="0098236C">
      <w:pPr>
        <w:rPr>
          <w:rFonts w:ascii="Arial" w:hAnsi="Arial" w:cs="Arial"/>
        </w:rPr>
      </w:pPr>
    </w:p>
    <w:p w14:paraId="5C1E8CB7" w14:textId="1B093474" w:rsidR="005C15E6" w:rsidRDefault="005C15E6">
      <w:pPr>
        <w:rPr>
          <w:rFonts w:ascii="Arial" w:hAnsi="Arial" w:cs="Arial"/>
        </w:rPr>
      </w:pPr>
    </w:p>
    <w:p w14:paraId="421522CC" w14:textId="77777777" w:rsidR="005C15E6" w:rsidRPr="008B3C58" w:rsidRDefault="005C15E6" w:rsidP="005C15E6">
      <w:pPr>
        <w:jc w:val="center"/>
        <w:rPr>
          <w:b/>
        </w:rPr>
      </w:pPr>
      <w:r w:rsidRPr="008B3C58">
        <w:rPr>
          <w:b/>
        </w:rPr>
        <w:t>VAS </w:t>
      </w:r>
      <w:r w:rsidRPr="008B3C58">
        <w:rPr>
          <w:b/>
          <w:color w:val="222222"/>
        </w:rPr>
        <w:t>„</w:t>
      </w:r>
      <w:r w:rsidRPr="008B3C58">
        <w:rPr>
          <w:b/>
        </w:rPr>
        <w:t xml:space="preserve">Latvijas dzelzceļš” </w:t>
      </w:r>
    </w:p>
    <w:p w14:paraId="3FE4C846" w14:textId="77777777" w:rsidR="005C15E6" w:rsidRPr="008B3C58" w:rsidRDefault="005C15E6" w:rsidP="005C15E6">
      <w:pPr>
        <w:ind w:left="142" w:right="-1"/>
        <w:jc w:val="center"/>
        <w:rPr>
          <w:b/>
        </w:rPr>
      </w:pPr>
      <w:r w:rsidRPr="008B3C58">
        <w:rPr>
          <w:b/>
        </w:rPr>
        <w:t>sarunu procedūras ar publikāciju</w:t>
      </w:r>
    </w:p>
    <w:p w14:paraId="46E3E8F1" w14:textId="77777777" w:rsidR="005C15E6" w:rsidRPr="002D1804" w:rsidRDefault="005C15E6" w:rsidP="005C15E6">
      <w:pPr>
        <w:ind w:left="284" w:right="282"/>
        <w:jc w:val="center"/>
        <w:rPr>
          <w:b/>
          <w:bCs/>
          <w:color w:val="222222"/>
          <w:szCs w:val="24"/>
        </w:rPr>
      </w:pPr>
      <w:r w:rsidRPr="002D1804">
        <w:rPr>
          <w:b/>
          <w:bCs/>
          <w:color w:val="222222"/>
          <w:szCs w:val="24"/>
        </w:rPr>
        <w:t>„Ēku, būvju nojaukšanas un teritorijas labiekārtošanas</w:t>
      </w:r>
    </w:p>
    <w:p w14:paraId="306C3247" w14:textId="77777777" w:rsidR="005C15E6" w:rsidRDefault="005C15E6" w:rsidP="005C15E6">
      <w:pPr>
        <w:ind w:left="284" w:right="282"/>
        <w:jc w:val="center"/>
        <w:rPr>
          <w:b/>
          <w:bCs/>
          <w:color w:val="222222"/>
          <w:szCs w:val="24"/>
        </w:rPr>
      </w:pPr>
      <w:r w:rsidRPr="002D1804">
        <w:rPr>
          <w:b/>
          <w:bCs/>
          <w:color w:val="222222"/>
          <w:szCs w:val="24"/>
        </w:rPr>
        <w:t>projektu dokumentāciju izstrāde”</w:t>
      </w:r>
    </w:p>
    <w:p w14:paraId="41D1A7A2" w14:textId="77777777" w:rsidR="005C15E6" w:rsidRPr="00681731" w:rsidRDefault="005C15E6" w:rsidP="005C15E6">
      <w:pPr>
        <w:ind w:left="284" w:right="282"/>
        <w:rPr>
          <w:rFonts w:eastAsia="Calibri"/>
        </w:rPr>
      </w:pPr>
    </w:p>
    <w:p w14:paraId="2318C387" w14:textId="77777777" w:rsidR="005C15E6" w:rsidRPr="00E308A2" w:rsidRDefault="005C15E6" w:rsidP="005C15E6">
      <w:pPr>
        <w:ind w:left="284" w:right="282"/>
        <w:jc w:val="center"/>
        <w:rPr>
          <w:rFonts w:eastAsia="Calibri"/>
          <w:b/>
        </w:rPr>
      </w:pPr>
      <w:r w:rsidRPr="00681731">
        <w:rPr>
          <w:rFonts w:eastAsia="Calibri"/>
          <w:b/>
        </w:rPr>
        <w:t>Skaidrojums Nr.</w:t>
      </w:r>
      <w:r>
        <w:rPr>
          <w:rFonts w:eastAsia="Calibri"/>
          <w:b/>
        </w:rPr>
        <w:t>1</w:t>
      </w:r>
    </w:p>
    <w:p w14:paraId="0811C513" w14:textId="77777777" w:rsidR="005C15E6" w:rsidRPr="00291EAB" w:rsidRDefault="005C15E6" w:rsidP="005C15E6">
      <w:pPr>
        <w:ind w:left="284" w:right="282"/>
        <w:jc w:val="center"/>
        <w:rPr>
          <w:rFonts w:eastAsia="Calibri"/>
          <w:b/>
          <w:highlight w:val="yellow"/>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536"/>
      </w:tblGrid>
      <w:tr w:rsidR="005C15E6" w:rsidRPr="006C6AAF" w14:paraId="35DDEBB2" w14:textId="77777777" w:rsidTr="005C15E6">
        <w:trPr>
          <w:trHeight w:val="655"/>
        </w:trPr>
        <w:tc>
          <w:tcPr>
            <w:tcW w:w="709" w:type="dxa"/>
            <w:shd w:val="clear" w:color="auto" w:fill="FFF2CC"/>
            <w:vAlign w:val="center"/>
          </w:tcPr>
          <w:p w14:paraId="2CC211C4" w14:textId="77777777" w:rsidR="005C15E6" w:rsidRPr="006C6AAF" w:rsidRDefault="005C15E6" w:rsidP="00443AB0">
            <w:pPr>
              <w:jc w:val="center"/>
              <w:rPr>
                <w:rFonts w:eastAsia="Calibri"/>
                <w:b/>
              </w:rPr>
            </w:pPr>
            <w:r w:rsidRPr="006C6AAF">
              <w:rPr>
                <w:rFonts w:eastAsia="Calibri"/>
                <w:b/>
              </w:rPr>
              <w:t>Nr.</w:t>
            </w:r>
          </w:p>
          <w:p w14:paraId="2C3057F5" w14:textId="77777777" w:rsidR="005C15E6" w:rsidRPr="006C6AAF" w:rsidRDefault="005C15E6" w:rsidP="00443AB0">
            <w:pPr>
              <w:jc w:val="center"/>
              <w:rPr>
                <w:rFonts w:eastAsia="Calibri"/>
                <w:b/>
              </w:rPr>
            </w:pPr>
            <w:r w:rsidRPr="006C6AAF">
              <w:rPr>
                <w:rFonts w:eastAsia="Calibri"/>
                <w:b/>
              </w:rPr>
              <w:t>p.k.</w:t>
            </w:r>
          </w:p>
        </w:tc>
        <w:tc>
          <w:tcPr>
            <w:tcW w:w="4536" w:type="dxa"/>
            <w:shd w:val="clear" w:color="auto" w:fill="FFF2CC"/>
            <w:vAlign w:val="center"/>
          </w:tcPr>
          <w:p w14:paraId="55AB1DFB" w14:textId="77777777" w:rsidR="005C15E6" w:rsidRPr="006C6AAF" w:rsidRDefault="005C15E6" w:rsidP="00443AB0">
            <w:pPr>
              <w:jc w:val="center"/>
              <w:rPr>
                <w:rFonts w:eastAsia="Calibri"/>
                <w:b/>
                <w:i/>
              </w:rPr>
            </w:pPr>
            <w:r w:rsidRPr="006C6AAF">
              <w:rPr>
                <w:rFonts w:eastAsia="Calibri"/>
                <w:b/>
                <w:i/>
              </w:rPr>
              <w:t>Jautājums</w:t>
            </w:r>
          </w:p>
        </w:tc>
        <w:tc>
          <w:tcPr>
            <w:tcW w:w="4536" w:type="dxa"/>
            <w:shd w:val="clear" w:color="auto" w:fill="FFF2CC"/>
            <w:vAlign w:val="center"/>
          </w:tcPr>
          <w:p w14:paraId="20AA0711" w14:textId="77777777" w:rsidR="005C15E6" w:rsidRPr="006C6AAF" w:rsidRDefault="005C15E6" w:rsidP="00443AB0">
            <w:pPr>
              <w:jc w:val="center"/>
              <w:rPr>
                <w:rFonts w:eastAsia="Calibri"/>
                <w:b/>
                <w:i/>
                <w:highlight w:val="yellow"/>
              </w:rPr>
            </w:pPr>
            <w:r w:rsidRPr="006C6AAF">
              <w:rPr>
                <w:rFonts w:eastAsia="Calibri"/>
                <w:b/>
                <w:i/>
              </w:rPr>
              <w:t>Atbilde</w:t>
            </w:r>
          </w:p>
        </w:tc>
      </w:tr>
      <w:tr w:rsidR="005C15E6" w:rsidRPr="006C6AAF" w14:paraId="792E7759" w14:textId="77777777" w:rsidTr="005C15E6">
        <w:trPr>
          <w:trHeight w:val="1551"/>
        </w:trPr>
        <w:tc>
          <w:tcPr>
            <w:tcW w:w="709" w:type="dxa"/>
            <w:shd w:val="clear" w:color="auto" w:fill="auto"/>
          </w:tcPr>
          <w:p w14:paraId="1DA7E14F" w14:textId="77777777" w:rsidR="005C15E6" w:rsidRPr="004E3B9E" w:rsidRDefault="005C15E6" w:rsidP="00443AB0">
            <w:pPr>
              <w:jc w:val="center"/>
              <w:rPr>
                <w:rFonts w:eastAsia="Calibri"/>
              </w:rPr>
            </w:pPr>
            <w:r w:rsidRPr="004E3B9E">
              <w:rPr>
                <w:rFonts w:eastAsia="Calibri"/>
              </w:rPr>
              <w:t>1.</w:t>
            </w:r>
          </w:p>
        </w:tc>
        <w:tc>
          <w:tcPr>
            <w:tcW w:w="4536" w:type="dxa"/>
            <w:shd w:val="clear" w:color="auto" w:fill="auto"/>
          </w:tcPr>
          <w:p w14:paraId="4C7B5EC7" w14:textId="77777777" w:rsidR="005C15E6" w:rsidRPr="006B74EA" w:rsidRDefault="005C15E6" w:rsidP="00443AB0">
            <w:pPr>
              <w:rPr>
                <w:szCs w:val="24"/>
              </w:rPr>
            </w:pPr>
            <w:r w:rsidRPr="006B74EA">
              <w:rPr>
                <w:szCs w:val="24"/>
              </w:rPr>
              <w:t xml:space="preserve">Nolikumā, punktā 4.3. norādīts šāds punkts: </w:t>
            </w:r>
            <w:r w:rsidRPr="006B74EA">
              <w:rPr>
                <w:i/>
                <w:iCs/>
                <w:szCs w:val="24"/>
              </w:rPr>
              <w:t xml:space="preserve">Pretendents pēdējo 5 (piecu) darbības gadu laikā ir veicis vismaz 3 (trīs) iepirkuma priekšmetam līdzīga satura un apjoma pakalpojumu līgumu atbilstoši iesniegtajam piedāvājumam par attiecīgām sarunu procedūras priekšmeta daļām. Par līdzīga satura līgumiem tiks uzskatīti līgumi (projekti) par  ēkas (u) vai būves (ju) nojaukšanas būvprojekta/paskaidrojuma raksta/paziņojuma par būvniecību, vai būvprojekti/paskaidrojuma raksti/apliecinājuma kartes, kuros sastāvu ietvaros bija izstrādāti risinājumi (noradīti ģenerālajos plānos (vai citos plānos), aprēķināti demontāžas apjomi t.sk. būvgružu apjomi, izstrādāti labiekārtošanas risinājumi) ēkas (u) vai būves (ju) nojaukšanai; </w:t>
            </w:r>
          </w:p>
          <w:p w14:paraId="33EFD248" w14:textId="77777777" w:rsidR="005C15E6" w:rsidRPr="006B74EA" w:rsidRDefault="005C15E6" w:rsidP="00443AB0">
            <w:pPr>
              <w:rPr>
                <w:sz w:val="20"/>
                <w:szCs w:val="20"/>
              </w:rPr>
            </w:pPr>
            <w:r w:rsidRPr="006B74EA">
              <w:rPr>
                <w:szCs w:val="24"/>
              </w:rPr>
              <w:t>Lūdzam,</w:t>
            </w:r>
            <w:r w:rsidRPr="006B74EA">
              <w:rPr>
                <w:i/>
                <w:iCs/>
                <w:szCs w:val="24"/>
              </w:rPr>
              <w:t xml:space="preserve"> </w:t>
            </w:r>
            <w:r w:rsidRPr="006B74EA">
              <w:rPr>
                <w:szCs w:val="24"/>
              </w:rPr>
              <w:t>precizēt, vai obligāti norādītajiem objektiem ir jābūt iepirkumiem, vai tie drīkst būt bijuši arī privāti pasūtītāji?</w:t>
            </w:r>
            <w:r>
              <w:t xml:space="preserve"> </w:t>
            </w:r>
          </w:p>
        </w:tc>
        <w:tc>
          <w:tcPr>
            <w:tcW w:w="4536" w:type="dxa"/>
            <w:shd w:val="clear" w:color="auto" w:fill="auto"/>
          </w:tcPr>
          <w:p w14:paraId="1262F3C5" w14:textId="77777777" w:rsidR="005C15E6" w:rsidRPr="002D1804" w:rsidRDefault="005C15E6" w:rsidP="00443AB0">
            <w:pPr>
              <w:pStyle w:val="Sarakstarindkopa"/>
              <w:tabs>
                <w:tab w:val="left" w:pos="567"/>
              </w:tabs>
              <w:ind w:left="0"/>
              <w:jc w:val="both"/>
              <w:rPr>
                <w:bCs/>
                <w:sz w:val="24"/>
                <w:szCs w:val="24"/>
                <w:highlight w:val="yellow"/>
              </w:rPr>
            </w:pPr>
            <w:r w:rsidRPr="00BB0A59">
              <w:rPr>
                <w:sz w:val="24"/>
                <w:szCs w:val="24"/>
              </w:rPr>
              <w:t>Skaidrojam, ka līgumiem (projektiem), kas apliecina pretendenta kvalifikāciju atbilstoši sarunu procedūras ar publikāciju nolikuma 4.3.punktam, nav obligāti jābūt noslēgtiem iepirkuma procedūras rezultātā un tie var būt noslēgti arī ar privātiem pasūtītājiem.</w:t>
            </w:r>
          </w:p>
        </w:tc>
      </w:tr>
    </w:tbl>
    <w:p w14:paraId="06A586AC" w14:textId="77777777" w:rsidR="005C15E6" w:rsidRPr="00C20434" w:rsidRDefault="005C15E6" w:rsidP="005C15E6">
      <w:pPr>
        <w:rPr>
          <w:rFonts w:ascii="Arial" w:hAnsi="Arial" w:cs="Arial"/>
        </w:rPr>
      </w:pPr>
    </w:p>
    <w:p w14:paraId="4B2E162A" w14:textId="77777777" w:rsidR="005C15E6" w:rsidRPr="00C20434" w:rsidRDefault="005C15E6">
      <w:pPr>
        <w:rPr>
          <w:rFonts w:ascii="Arial" w:hAnsi="Arial" w:cs="Arial"/>
        </w:rPr>
      </w:pPr>
    </w:p>
    <w:sectPr w:rsidR="005C15E6"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E6"/>
    <w:rsid w:val="003204EA"/>
    <w:rsid w:val="005C15E6"/>
    <w:rsid w:val="00620100"/>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6C04"/>
  <w15:chartTrackingRefBased/>
  <w15:docId w15:val="{00B71DC5-DAD3-4D2F-8469-E0FF2617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15E6"/>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5C15E6"/>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5C15E6"/>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505</Characters>
  <Application>Microsoft Office Word</Application>
  <DocSecurity>0</DocSecurity>
  <Lines>4</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2022-05-18T15:23:00Z</dcterms:created>
  <dcterms:modified xsi:type="dcterms:W3CDTF">2022-05-18T15:23:00Z</dcterms:modified>
</cp:coreProperties>
</file>