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4F0FC7"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4F0FC7">
        <w:rPr>
          <w:rFonts w:ascii="Times New Roman" w:hAnsi="Times New Roman" w:cs="Times New Roman"/>
          <w:i/>
          <w:sz w:val="24"/>
          <w:szCs w:val="24"/>
        </w:rPr>
        <w:t>APSTIPRINĀTS:</w:t>
      </w:r>
    </w:p>
    <w:p w14:paraId="18E4EDD7" w14:textId="21E9618F" w:rsidR="001A3CAD" w:rsidRPr="004F0FC7" w:rsidRDefault="001A3CAD" w:rsidP="00CB7579">
      <w:pPr>
        <w:tabs>
          <w:tab w:val="left" w:pos="3760"/>
        </w:tabs>
        <w:ind w:left="-284" w:right="282" w:firstLine="4395"/>
        <w:jc w:val="right"/>
        <w:rPr>
          <w:rFonts w:ascii="Times New Roman" w:hAnsi="Times New Roman" w:cs="Times New Roman"/>
          <w:i/>
          <w:sz w:val="24"/>
          <w:szCs w:val="24"/>
        </w:rPr>
      </w:pPr>
      <w:r w:rsidRPr="004F0FC7">
        <w:rPr>
          <w:rFonts w:ascii="Times New Roman" w:hAnsi="Times New Roman" w:cs="Times New Roman"/>
          <w:i/>
          <w:sz w:val="24"/>
          <w:szCs w:val="24"/>
        </w:rPr>
        <w:t xml:space="preserve">ar iepirkuma komisijas </w:t>
      </w:r>
      <w:r w:rsidRPr="004F0FC7">
        <w:rPr>
          <w:rFonts w:ascii="Times New Roman" w:eastAsia="Arial Unicode MS" w:hAnsi="Times New Roman" w:cs="Times New Roman"/>
          <w:i/>
          <w:sz w:val="24"/>
          <w:szCs w:val="24"/>
        </w:rPr>
        <w:t>20</w:t>
      </w:r>
      <w:r w:rsidR="000646B8" w:rsidRPr="004F0FC7">
        <w:rPr>
          <w:rFonts w:ascii="Times New Roman" w:eastAsia="Arial Unicode MS" w:hAnsi="Times New Roman" w:cs="Times New Roman"/>
          <w:i/>
          <w:sz w:val="24"/>
          <w:szCs w:val="24"/>
        </w:rPr>
        <w:t>20</w:t>
      </w:r>
      <w:r w:rsidRPr="004F0FC7">
        <w:rPr>
          <w:rFonts w:ascii="Times New Roman" w:eastAsia="Arial Unicode MS" w:hAnsi="Times New Roman" w:cs="Times New Roman"/>
          <w:i/>
          <w:sz w:val="24"/>
          <w:szCs w:val="24"/>
        </w:rPr>
        <w:t xml:space="preserve">.gada </w:t>
      </w:r>
      <w:r w:rsidR="00DF7077" w:rsidRPr="004F0FC7">
        <w:rPr>
          <w:rFonts w:ascii="Times New Roman" w:eastAsia="Arial Unicode MS" w:hAnsi="Times New Roman" w:cs="Times New Roman"/>
          <w:i/>
          <w:sz w:val="24"/>
          <w:szCs w:val="24"/>
        </w:rPr>
        <w:t>9</w:t>
      </w:r>
      <w:r w:rsidR="00A4324E" w:rsidRPr="004F0FC7">
        <w:rPr>
          <w:rFonts w:ascii="Times New Roman" w:eastAsia="Arial Unicode MS" w:hAnsi="Times New Roman" w:cs="Times New Roman"/>
          <w:i/>
          <w:sz w:val="24"/>
          <w:szCs w:val="24"/>
        </w:rPr>
        <w:t>.oktobra</w:t>
      </w:r>
    </w:p>
    <w:p w14:paraId="2185184A" w14:textId="58BB5272" w:rsidR="001A3CAD" w:rsidRPr="004F0FC7" w:rsidRDefault="001A3CAD" w:rsidP="00CB7579">
      <w:pPr>
        <w:tabs>
          <w:tab w:val="left" w:pos="3760"/>
        </w:tabs>
        <w:ind w:left="-284" w:right="282" w:firstLine="4395"/>
        <w:jc w:val="right"/>
        <w:rPr>
          <w:rFonts w:ascii="Times New Roman" w:hAnsi="Times New Roman" w:cs="Times New Roman"/>
          <w:i/>
          <w:sz w:val="24"/>
          <w:szCs w:val="24"/>
        </w:rPr>
      </w:pPr>
      <w:r w:rsidRPr="004F0FC7">
        <w:rPr>
          <w:rFonts w:ascii="Times New Roman" w:eastAsia="Arial Unicode MS" w:hAnsi="Times New Roman" w:cs="Times New Roman"/>
          <w:i/>
          <w:sz w:val="24"/>
          <w:szCs w:val="24"/>
        </w:rPr>
        <w:t>sēdes protokolu Nr.</w:t>
      </w:r>
      <w:r w:rsidR="004B6956" w:rsidRPr="004F0FC7">
        <w:rPr>
          <w:rFonts w:ascii="Times New Roman" w:eastAsia="Arial Unicode MS" w:hAnsi="Times New Roman" w:cs="Times New Roman"/>
          <w:i/>
          <w:sz w:val="24"/>
          <w:szCs w:val="24"/>
        </w:rPr>
        <w:t>10</w:t>
      </w:r>
    </w:p>
    <w:p w14:paraId="0A0197CB" w14:textId="77777777" w:rsidR="001A3CAD" w:rsidRPr="004F0FC7" w:rsidRDefault="001A3CAD" w:rsidP="00CB7579">
      <w:pPr>
        <w:tabs>
          <w:tab w:val="left" w:pos="3760"/>
        </w:tabs>
        <w:ind w:right="282"/>
        <w:rPr>
          <w:rFonts w:ascii="Times New Roman" w:hAnsi="Times New Roman" w:cs="Times New Roman"/>
          <w:b/>
          <w:sz w:val="20"/>
          <w:szCs w:val="20"/>
        </w:rPr>
      </w:pPr>
    </w:p>
    <w:p w14:paraId="7A28F01A" w14:textId="77777777" w:rsidR="00713CA1" w:rsidRPr="004F0FC7" w:rsidRDefault="00713CA1" w:rsidP="00CB7579">
      <w:pPr>
        <w:pStyle w:val="Nosaukums"/>
        <w:rPr>
          <w:b/>
          <w:sz w:val="24"/>
          <w:szCs w:val="24"/>
        </w:rPr>
      </w:pPr>
      <w:r w:rsidRPr="004F0FC7">
        <w:rPr>
          <w:b/>
          <w:sz w:val="24"/>
          <w:szCs w:val="24"/>
        </w:rPr>
        <w:t>VAS “Latvijas dzelzceļš”</w:t>
      </w:r>
    </w:p>
    <w:p w14:paraId="0F901FD7" w14:textId="77777777" w:rsidR="00713CA1" w:rsidRPr="004F0FC7" w:rsidRDefault="00713CA1" w:rsidP="00CB7579">
      <w:pPr>
        <w:pStyle w:val="Nosaukums"/>
        <w:rPr>
          <w:b/>
          <w:sz w:val="24"/>
          <w:szCs w:val="24"/>
        </w:rPr>
      </w:pPr>
      <w:r w:rsidRPr="004F0FC7">
        <w:rPr>
          <w:b/>
          <w:sz w:val="24"/>
          <w:szCs w:val="24"/>
        </w:rPr>
        <w:t>Atklātā konkursa</w:t>
      </w:r>
    </w:p>
    <w:p w14:paraId="27224177" w14:textId="77777777" w:rsidR="00713CA1" w:rsidRPr="004F0FC7" w:rsidRDefault="000646B8" w:rsidP="00CB7579">
      <w:pPr>
        <w:pStyle w:val="Nosaukums"/>
        <w:rPr>
          <w:b/>
          <w:sz w:val="24"/>
          <w:szCs w:val="24"/>
        </w:rPr>
      </w:pPr>
      <w:r w:rsidRPr="004F0FC7">
        <w:rPr>
          <w:b/>
          <w:sz w:val="24"/>
          <w:szCs w:val="24"/>
        </w:rPr>
        <w:t>„Dzelzceļa pasažieru infrastruktūras modernizācija: būvniecība”</w:t>
      </w:r>
    </w:p>
    <w:p w14:paraId="68363B35" w14:textId="77777777" w:rsidR="001A3CAD" w:rsidRPr="004F0FC7" w:rsidRDefault="00713CA1" w:rsidP="00CB7579">
      <w:pPr>
        <w:pStyle w:val="Nosaukums"/>
        <w:rPr>
          <w:b/>
          <w:sz w:val="24"/>
          <w:szCs w:val="24"/>
        </w:rPr>
      </w:pPr>
      <w:r w:rsidRPr="004F0FC7">
        <w:rPr>
          <w:b/>
          <w:sz w:val="24"/>
          <w:szCs w:val="24"/>
        </w:rPr>
        <w:t xml:space="preserve">(iepirkuma identifikācijas Nr. </w:t>
      </w:r>
      <w:bookmarkStart w:id="1" w:name="_Hlk10105422"/>
      <w:r w:rsidRPr="004F0FC7">
        <w:rPr>
          <w:b/>
          <w:sz w:val="24"/>
          <w:szCs w:val="24"/>
        </w:rPr>
        <w:t>LDZ 20</w:t>
      </w:r>
      <w:r w:rsidR="000646B8" w:rsidRPr="004F0FC7">
        <w:rPr>
          <w:b/>
          <w:sz w:val="24"/>
          <w:szCs w:val="24"/>
        </w:rPr>
        <w:t>20</w:t>
      </w:r>
      <w:r w:rsidRPr="004F0FC7">
        <w:rPr>
          <w:b/>
          <w:sz w:val="24"/>
          <w:szCs w:val="24"/>
        </w:rPr>
        <w:t>/5-IB</w:t>
      </w:r>
      <w:bookmarkEnd w:id="1"/>
      <w:r w:rsidRPr="004F0FC7">
        <w:rPr>
          <w:b/>
          <w:sz w:val="24"/>
          <w:szCs w:val="24"/>
        </w:rPr>
        <w:t>)</w:t>
      </w:r>
    </w:p>
    <w:p w14:paraId="038A5D50" w14:textId="7FBAF13D" w:rsidR="005758A8" w:rsidRDefault="001A3CAD" w:rsidP="00CB7579">
      <w:pPr>
        <w:ind w:left="-284" w:right="282"/>
        <w:jc w:val="center"/>
        <w:rPr>
          <w:rFonts w:ascii="Times New Roman" w:hAnsi="Times New Roman" w:cs="Times New Roman"/>
          <w:b/>
          <w:sz w:val="24"/>
          <w:szCs w:val="24"/>
        </w:rPr>
      </w:pPr>
      <w:r w:rsidRPr="004F0FC7">
        <w:rPr>
          <w:rFonts w:ascii="Times New Roman" w:hAnsi="Times New Roman" w:cs="Times New Roman"/>
          <w:b/>
          <w:sz w:val="24"/>
          <w:szCs w:val="24"/>
        </w:rPr>
        <w:t>SKAIDROJUMS Nr.</w:t>
      </w:r>
      <w:r w:rsidR="003859C6" w:rsidRPr="004F0FC7">
        <w:rPr>
          <w:rFonts w:ascii="Times New Roman" w:hAnsi="Times New Roman" w:cs="Times New Roman"/>
          <w:b/>
          <w:sz w:val="24"/>
          <w:szCs w:val="24"/>
        </w:rPr>
        <w:t>1</w:t>
      </w:r>
      <w:r w:rsidR="004B6956" w:rsidRPr="004F0FC7">
        <w:rPr>
          <w:rFonts w:ascii="Times New Roman" w:hAnsi="Times New Roman" w:cs="Times New Roman"/>
          <w:b/>
          <w:sz w:val="24"/>
          <w:szCs w:val="24"/>
        </w:rPr>
        <w:t>4</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Reatabula"/>
        <w:tblW w:w="10249" w:type="dxa"/>
        <w:jc w:val="center"/>
        <w:tblLook w:val="04A0" w:firstRow="1" w:lastRow="0" w:firstColumn="1" w:lastColumn="0" w:noHBand="0" w:noVBand="1"/>
      </w:tblPr>
      <w:tblGrid>
        <w:gridCol w:w="943"/>
        <w:gridCol w:w="5251"/>
        <w:gridCol w:w="4055"/>
      </w:tblGrid>
      <w:tr w:rsidR="00852D60" w:rsidRPr="00F24055" w14:paraId="15557D17" w14:textId="77777777" w:rsidTr="004F0FC7">
        <w:trPr>
          <w:trHeight w:val="359"/>
          <w:jc w:val="center"/>
        </w:trPr>
        <w:tc>
          <w:tcPr>
            <w:tcW w:w="943" w:type="dxa"/>
            <w:shd w:val="clear" w:color="auto" w:fill="FFF2CC"/>
          </w:tcPr>
          <w:p w14:paraId="6F6E4A54" w14:textId="77777777" w:rsidR="00852D60" w:rsidRPr="00F736CD" w:rsidRDefault="00852D60" w:rsidP="00FF1F0C">
            <w:pPr>
              <w:spacing w:before="120"/>
              <w:jc w:val="center"/>
              <w:rPr>
                <w:rFonts w:ascii="Times New Roman" w:eastAsia="Calibri" w:hAnsi="Times New Roman" w:cs="Times New Roman"/>
                <w:b/>
                <w:szCs w:val="24"/>
                <w:lang w:eastAsia="en-US"/>
              </w:rPr>
            </w:pPr>
            <w:bookmarkStart w:id="2" w:name="_Hlk53063856"/>
            <w:r w:rsidRPr="00F736CD">
              <w:rPr>
                <w:rFonts w:ascii="Times New Roman" w:eastAsia="Calibri" w:hAnsi="Times New Roman" w:cs="Times New Roman"/>
                <w:b/>
                <w:szCs w:val="24"/>
                <w:lang w:eastAsia="en-US"/>
              </w:rPr>
              <w:t>Nr.p.k.</w:t>
            </w:r>
          </w:p>
        </w:tc>
        <w:tc>
          <w:tcPr>
            <w:tcW w:w="5251" w:type="dxa"/>
            <w:shd w:val="clear" w:color="auto" w:fill="FFF2CC"/>
          </w:tcPr>
          <w:p w14:paraId="75265D71"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055" w:type="dxa"/>
            <w:shd w:val="clear" w:color="auto" w:fill="FFF2CC" w:themeFill="accent4" w:themeFillTint="33"/>
          </w:tcPr>
          <w:p w14:paraId="5BDBABAA"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4B6A32" w:rsidRPr="00F24055" w14:paraId="680CAB2E" w14:textId="77777777" w:rsidTr="004F0FC7">
        <w:trPr>
          <w:trHeight w:val="278"/>
          <w:jc w:val="center"/>
        </w:trPr>
        <w:tc>
          <w:tcPr>
            <w:tcW w:w="943" w:type="dxa"/>
            <w:shd w:val="clear" w:color="auto" w:fill="auto"/>
          </w:tcPr>
          <w:p w14:paraId="0BAC9727" w14:textId="77777777" w:rsidR="004B6A32" w:rsidRPr="00F24055" w:rsidRDefault="004B6A32" w:rsidP="00FF1F0C">
            <w:pPr>
              <w:pStyle w:val="Sarakstarindkopa"/>
              <w:ind w:left="0" w:right="282"/>
              <w:jc w:val="center"/>
              <w:rPr>
                <w:rFonts w:ascii="Times New Roman" w:hAnsi="Times New Roman" w:cs="Times New Roman"/>
                <w:b/>
                <w:szCs w:val="24"/>
              </w:rPr>
            </w:pPr>
            <w:r w:rsidRPr="00F24055">
              <w:rPr>
                <w:rFonts w:ascii="Times New Roman" w:hAnsi="Times New Roman" w:cs="Times New Roman"/>
                <w:b/>
                <w:szCs w:val="24"/>
              </w:rPr>
              <w:t>1.</w:t>
            </w:r>
          </w:p>
        </w:tc>
        <w:tc>
          <w:tcPr>
            <w:tcW w:w="5251" w:type="dxa"/>
            <w:shd w:val="clear" w:color="auto" w:fill="auto"/>
          </w:tcPr>
          <w:p w14:paraId="6F991B88" w14:textId="77777777" w:rsidR="004B6956" w:rsidRPr="004B6956" w:rsidRDefault="004B6956" w:rsidP="004B6956">
            <w:pPr>
              <w:rPr>
                <w:rFonts w:ascii="Times New Roman" w:eastAsiaTheme="minorEastAsia" w:hAnsi="Times New Roman" w:cs="Times New Roman"/>
                <w:szCs w:val="24"/>
              </w:rPr>
            </w:pPr>
            <w:r w:rsidRPr="004B6956">
              <w:rPr>
                <w:rFonts w:ascii="Times New Roman" w:eastAsiaTheme="minorEastAsia" w:hAnsi="Times New Roman" w:cs="Times New Roman"/>
                <w:szCs w:val="24"/>
              </w:rPr>
              <w:t xml:space="preserve">Konkursa Nolikuma p.6.2.1 - 6.2.14 ir norādīti pretendenta izslēgšanas kritēriji. Ārvalstu kompānijām, lai pierādītu šo kritēriju neattiecināmību, ir jāiesniedz kompetentās institūcijas izziņas. Vienlaikus Nolikuma p.6.10 minēts, ka “Pasūtītājs pieņem EVIPD kā sākotnējo pierādījumu atbilstībai paziņojumā par līgumu vai konkursa dokumentos noteiktajām pretendentu atlases prasībām”. </w:t>
            </w:r>
          </w:p>
          <w:p w14:paraId="772F64B1" w14:textId="349F68C7" w:rsidR="004B6A32" w:rsidRPr="004B6956" w:rsidRDefault="004B6956" w:rsidP="004B6956">
            <w:pPr>
              <w:rPr>
                <w:rFonts w:ascii="Times New Roman" w:eastAsiaTheme="minorEastAsia" w:hAnsi="Times New Roman" w:cs="Times New Roman"/>
                <w:szCs w:val="24"/>
              </w:rPr>
            </w:pPr>
            <w:r w:rsidRPr="004B6956">
              <w:rPr>
                <w:rFonts w:ascii="Times New Roman" w:eastAsiaTheme="minorEastAsia" w:hAnsi="Times New Roman" w:cs="Times New Roman"/>
                <w:szCs w:val="24"/>
              </w:rPr>
              <w:t>Jautājums: lūdzam apstiprināt, ka piedāvājumā ārvalstu kompānijas var iesniegt tikai EVIPD formu kā pierādījumu neattiecināmību izslēgšanas kritērijiem?</w:t>
            </w:r>
          </w:p>
        </w:tc>
        <w:tc>
          <w:tcPr>
            <w:tcW w:w="4055" w:type="dxa"/>
            <w:shd w:val="clear" w:color="auto" w:fill="auto"/>
          </w:tcPr>
          <w:p w14:paraId="0DC66EB5" w14:textId="66407F73" w:rsidR="004B6A32" w:rsidRPr="00B8392C" w:rsidRDefault="00A935A5" w:rsidP="00A935A5">
            <w:pPr>
              <w:ind w:left="34" w:hanging="34"/>
              <w:rPr>
                <w:rFonts w:ascii="Times New Roman" w:hAnsi="Times New Roman" w:cs="Times New Roman"/>
                <w:szCs w:val="24"/>
              </w:rPr>
            </w:pPr>
            <w:r w:rsidRPr="00B8392C">
              <w:rPr>
                <w:rFonts w:ascii="Times New Roman" w:hAnsi="Times New Roman" w:cs="Times New Roman"/>
                <w:szCs w:val="24"/>
              </w:rPr>
              <w:t>Apstiprinām, ka atbilstoši nolikuma 6.4.punktam kā sākotnējo pierādījumu atbilstībai paziņojumā par līgumu vai konkursa dokumentos noteiktajām pretendentu atlases prasībām var iesniegt tikai EVIPD formu.</w:t>
            </w:r>
          </w:p>
          <w:p w14:paraId="6E971669" w14:textId="77777777" w:rsidR="00A935A5" w:rsidRPr="00B8392C" w:rsidRDefault="00A935A5" w:rsidP="00A935A5">
            <w:pPr>
              <w:rPr>
                <w:rFonts w:ascii="Times New Roman" w:hAnsi="Times New Roman" w:cs="Times New Roman"/>
              </w:rPr>
            </w:pPr>
            <w:r w:rsidRPr="00B8392C">
              <w:rPr>
                <w:rFonts w:ascii="Times New Roman" w:hAnsi="Times New Roman" w:cs="Times New Roman"/>
                <w:szCs w:val="24"/>
              </w:rPr>
              <w:t xml:space="preserve">Vēršam uzmanību uz to, ka attiecībā uz nolikuma 6.2.punktā noteikto izslēgšanas noteikumu neattiecinamību iesniedzamajiem dokumentiem </w:t>
            </w:r>
            <w:r w:rsidRPr="00B8392C">
              <w:rPr>
                <w:rFonts w:ascii="Times New Roman" w:hAnsi="Times New Roman" w:cs="Times New Roman"/>
              </w:rPr>
              <w:t>izslēgšanas noteikumu</w:t>
            </w:r>
          </w:p>
          <w:p w14:paraId="25C3EA9F" w14:textId="69AD5680" w:rsidR="00A935A5" w:rsidRPr="00B8392C" w:rsidRDefault="00A935A5" w:rsidP="00A935A5">
            <w:pPr>
              <w:rPr>
                <w:rFonts w:ascii="Times New Roman" w:hAnsi="Times New Roman" w:cs="Times New Roman"/>
                <w:szCs w:val="24"/>
              </w:rPr>
            </w:pPr>
            <w:r w:rsidRPr="00B8392C">
              <w:rPr>
                <w:rFonts w:ascii="Times New Roman" w:hAnsi="Times New Roman" w:cs="Times New Roman"/>
              </w:rPr>
              <w:t>neattiecināmības pierādīšanai ārvalstīs reģistrētai vai pastāvīgi dzīvojošai personai tiks veikti grozījumi</w:t>
            </w:r>
            <w:r w:rsidR="001360B9" w:rsidRPr="00B8392C">
              <w:rPr>
                <w:rFonts w:ascii="Times New Roman" w:hAnsi="Times New Roman" w:cs="Times New Roman"/>
              </w:rPr>
              <w:t>.</w:t>
            </w:r>
          </w:p>
        </w:tc>
      </w:tr>
      <w:tr w:rsidR="004B6A32" w:rsidRPr="00F24055" w14:paraId="5B6F56E1" w14:textId="77777777" w:rsidTr="004F0FC7">
        <w:trPr>
          <w:trHeight w:val="4752"/>
          <w:jc w:val="center"/>
        </w:trPr>
        <w:tc>
          <w:tcPr>
            <w:tcW w:w="943" w:type="dxa"/>
            <w:shd w:val="clear" w:color="auto" w:fill="auto"/>
          </w:tcPr>
          <w:p w14:paraId="69FB7D22" w14:textId="1091D72B" w:rsidR="004B6A32" w:rsidRPr="00F24055" w:rsidRDefault="004B6A32"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251" w:type="dxa"/>
            <w:shd w:val="clear" w:color="auto" w:fill="auto"/>
          </w:tcPr>
          <w:p w14:paraId="3F2F279E" w14:textId="77777777" w:rsidR="004B6956" w:rsidRPr="004B6956" w:rsidRDefault="004B6956" w:rsidP="004B6956">
            <w:pPr>
              <w:rPr>
                <w:rFonts w:ascii="Times New Roman" w:eastAsiaTheme="minorEastAsia" w:hAnsi="Times New Roman" w:cs="Times New Roman"/>
                <w:szCs w:val="24"/>
              </w:rPr>
            </w:pPr>
            <w:r w:rsidRPr="004B6956">
              <w:rPr>
                <w:rFonts w:ascii="Times New Roman" w:eastAsiaTheme="minorEastAsia" w:hAnsi="Times New Roman" w:cs="Times New Roman"/>
                <w:szCs w:val="24"/>
              </w:rPr>
              <w:t>Pretendenta atlases noteikumos, 6.2.13 punktā, ir minēts kritērijs: "Pretendents, kas pieteicies dalībai iepirkuma priekšmeta 6. daļā, neatbilst Ministru kabineta 2015. gada 28. jūlija noteikumiem Nr. 442 “Kārtība, kādā tiek nodrošināta informācijas un komunikācijas tehnoloģiju sistēmu atbilstība minimālajām drošības prasībām”.</w:t>
            </w:r>
          </w:p>
          <w:p w14:paraId="0F0F9E29" w14:textId="77777777" w:rsidR="004B6956" w:rsidRPr="004B6956" w:rsidRDefault="004B6956" w:rsidP="004B6956">
            <w:pPr>
              <w:rPr>
                <w:rFonts w:ascii="Times New Roman" w:eastAsiaTheme="minorEastAsia" w:hAnsi="Times New Roman" w:cs="Times New Roman"/>
                <w:szCs w:val="24"/>
              </w:rPr>
            </w:pPr>
            <w:r w:rsidRPr="004B6956">
              <w:rPr>
                <w:rFonts w:ascii="Times New Roman" w:eastAsiaTheme="minorEastAsia" w:hAnsi="Times New Roman" w:cs="Times New Roman"/>
                <w:szCs w:val="24"/>
              </w:rPr>
              <w:t>Tā kā VIAS un VNS informācijas sistēmām ir piemērota "paaugstinātas drošības" pakāpe, lūdzam informēt, kuru iekārtu un/vai programmnodrošinājuma ražotājiem ir jāatbilst noteikumu prasībām, proti:</w:t>
            </w:r>
          </w:p>
          <w:p w14:paraId="6533427D" w14:textId="77777777" w:rsidR="004B6956" w:rsidRPr="004B6956" w:rsidRDefault="004B6956" w:rsidP="004B6956">
            <w:pPr>
              <w:pStyle w:val="Sarakstarindkopa"/>
              <w:numPr>
                <w:ilvl w:val="1"/>
                <w:numId w:val="26"/>
              </w:numPr>
              <w:ind w:left="323" w:hanging="283"/>
              <w:rPr>
                <w:rFonts w:ascii="Times New Roman" w:eastAsiaTheme="minorEastAsia" w:hAnsi="Times New Roman" w:cs="Times New Roman"/>
                <w:szCs w:val="24"/>
              </w:rPr>
            </w:pPr>
            <w:r w:rsidRPr="004B6956">
              <w:rPr>
                <w:rFonts w:ascii="Times New Roman" w:eastAsiaTheme="minorEastAsia" w:hAnsi="Times New Roman" w:cs="Times New Roman"/>
                <w:szCs w:val="24"/>
              </w:rPr>
              <w:t xml:space="preserve">videonovērošanas sistēmas programmnodrošinājums, </w:t>
            </w:r>
          </w:p>
          <w:p w14:paraId="7A8AAD11" w14:textId="77777777" w:rsidR="004B6956" w:rsidRPr="004B6956" w:rsidRDefault="004B6956" w:rsidP="004B6956">
            <w:pPr>
              <w:pStyle w:val="Sarakstarindkopa"/>
              <w:numPr>
                <w:ilvl w:val="1"/>
                <w:numId w:val="26"/>
              </w:numPr>
              <w:ind w:left="323" w:hanging="283"/>
              <w:rPr>
                <w:rFonts w:ascii="Times New Roman" w:eastAsiaTheme="minorEastAsia" w:hAnsi="Times New Roman" w:cs="Times New Roman"/>
                <w:szCs w:val="24"/>
              </w:rPr>
            </w:pPr>
            <w:r w:rsidRPr="004B6956">
              <w:rPr>
                <w:rFonts w:ascii="Times New Roman" w:eastAsiaTheme="minorEastAsia" w:hAnsi="Times New Roman" w:cs="Times New Roman"/>
                <w:szCs w:val="24"/>
              </w:rPr>
              <w:t xml:space="preserve">pasažieru informēšanas sistēmas programmnodrošinājums, </w:t>
            </w:r>
          </w:p>
          <w:p w14:paraId="351E6873" w14:textId="77777777" w:rsidR="004B6956" w:rsidRPr="004B6956" w:rsidRDefault="004B6956" w:rsidP="004B6956">
            <w:pPr>
              <w:pStyle w:val="Sarakstarindkopa"/>
              <w:numPr>
                <w:ilvl w:val="1"/>
                <w:numId w:val="26"/>
              </w:numPr>
              <w:ind w:left="323" w:hanging="283"/>
              <w:rPr>
                <w:rFonts w:ascii="Times New Roman" w:eastAsiaTheme="minorEastAsia" w:hAnsi="Times New Roman" w:cs="Times New Roman"/>
                <w:szCs w:val="24"/>
              </w:rPr>
            </w:pPr>
            <w:r w:rsidRPr="004B6956">
              <w:rPr>
                <w:rFonts w:ascii="Times New Roman" w:eastAsiaTheme="minorEastAsia" w:hAnsi="Times New Roman" w:cs="Times New Roman"/>
                <w:szCs w:val="24"/>
              </w:rPr>
              <w:t xml:space="preserve">maršrutētāji datu pārraides tīkla izbūvei, </w:t>
            </w:r>
          </w:p>
          <w:p w14:paraId="6A99E69B" w14:textId="77777777" w:rsidR="004B6956" w:rsidRPr="004B6956" w:rsidRDefault="004B6956" w:rsidP="004B6956">
            <w:pPr>
              <w:pStyle w:val="Sarakstarindkopa"/>
              <w:numPr>
                <w:ilvl w:val="1"/>
                <w:numId w:val="26"/>
              </w:numPr>
              <w:ind w:left="323" w:hanging="283"/>
              <w:rPr>
                <w:rFonts w:ascii="Times New Roman" w:eastAsiaTheme="minorEastAsia" w:hAnsi="Times New Roman" w:cs="Times New Roman"/>
                <w:szCs w:val="24"/>
              </w:rPr>
            </w:pPr>
            <w:r w:rsidRPr="004B6956">
              <w:rPr>
                <w:rFonts w:ascii="Times New Roman" w:eastAsiaTheme="minorEastAsia" w:hAnsi="Times New Roman" w:cs="Times New Roman"/>
                <w:szCs w:val="24"/>
              </w:rPr>
              <w:t xml:space="preserve">pasažieru informēšanas sistēmas displeji peroniem, </w:t>
            </w:r>
          </w:p>
          <w:p w14:paraId="2D30B88D" w14:textId="77777777" w:rsidR="004B6956" w:rsidRPr="004B6956" w:rsidRDefault="004B6956" w:rsidP="004B6956">
            <w:pPr>
              <w:pStyle w:val="Sarakstarindkopa"/>
              <w:numPr>
                <w:ilvl w:val="1"/>
                <w:numId w:val="26"/>
              </w:numPr>
              <w:ind w:left="323" w:hanging="283"/>
              <w:rPr>
                <w:rFonts w:ascii="Times New Roman" w:eastAsiaTheme="minorEastAsia" w:hAnsi="Times New Roman" w:cs="Times New Roman"/>
                <w:szCs w:val="24"/>
              </w:rPr>
            </w:pPr>
            <w:r w:rsidRPr="004B6956">
              <w:rPr>
                <w:rFonts w:ascii="Times New Roman" w:eastAsiaTheme="minorEastAsia" w:hAnsi="Times New Roman" w:cs="Times New Roman"/>
                <w:szCs w:val="24"/>
              </w:rPr>
              <w:t xml:space="preserve">videokameras, </w:t>
            </w:r>
          </w:p>
          <w:p w14:paraId="69576F65" w14:textId="77777777" w:rsidR="004B6956" w:rsidRPr="004B6956" w:rsidRDefault="004B6956" w:rsidP="004B6956">
            <w:pPr>
              <w:pStyle w:val="Sarakstarindkopa"/>
              <w:numPr>
                <w:ilvl w:val="1"/>
                <w:numId w:val="26"/>
              </w:numPr>
              <w:ind w:left="323" w:hanging="283"/>
              <w:rPr>
                <w:rFonts w:ascii="Times New Roman" w:eastAsiaTheme="minorEastAsia" w:hAnsi="Times New Roman" w:cs="Times New Roman"/>
                <w:szCs w:val="24"/>
              </w:rPr>
            </w:pPr>
            <w:r w:rsidRPr="004B6956">
              <w:rPr>
                <w:rFonts w:ascii="Times New Roman" w:eastAsiaTheme="minorEastAsia" w:hAnsi="Times New Roman" w:cs="Times New Roman"/>
                <w:szCs w:val="24"/>
              </w:rPr>
              <w:t>NVR un serveri,</w:t>
            </w:r>
          </w:p>
          <w:p w14:paraId="6FFC6527" w14:textId="5A59730C" w:rsidR="004B6A32" w:rsidRPr="004B6956" w:rsidRDefault="004B6956" w:rsidP="004B6956">
            <w:pPr>
              <w:pStyle w:val="Sarakstarindkopa"/>
              <w:numPr>
                <w:ilvl w:val="1"/>
                <w:numId w:val="26"/>
              </w:numPr>
              <w:ind w:left="323" w:hanging="283"/>
              <w:rPr>
                <w:rFonts w:ascii="Times New Roman" w:eastAsiaTheme="minorEastAsia" w:hAnsi="Times New Roman" w:cs="Times New Roman"/>
                <w:szCs w:val="24"/>
              </w:rPr>
            </w:pPr>
            <w:r w:rsidRPr="004B6956">
              <w:rPr>
                <w:rFonts w:ascii="Times New Roman" w:eastAsiaTheme="minorEastAsia" w:hAnsi="Times New Roman" w:cs="Times New Roman"/>
                <w:szCs w:val="24"/>
              </w:rPr>
              <w:t>elektrobarošanas iekārtas utt.</w:t>
            </w:r>
          </w:p>
        </w:tc>
        <w:tc>
          <w:tcPr>
            <w:tcW w:w="4055" w:type="dxa"/>
            <w:shd w:val="clear" w:color="auto" w:fill="auto"/>
          </w:tcPr>
          <w:p w14:paraId="1C7FE643" w14:textId="59E19BF5" w:rsidR="004B6A32" w:rsidRDefault="0046584B" w:rsidP="004B6A32">
            <w:pPr>
              <w:rPr>
                <w:rFonts w:ascii="Times New Roman" w:hAnsi="Times New Roman" w:cs="Times New Roman"/>
                <w:bCs/>
                <w:szCs w:val="24"/>
              </w:rPr>
            </w:pPr>
            <w:r>
              <w:rPr>
                <w:rFonts w:ascii="Times New Roman" w:hAnsi="Times New Roman" w:cs="Times New Roman"/>
                <w:bCs/>
                <w:szCs w:val="24"/>
              </w:rPr>
              <w:t>Skat. Skaidrojumus Nr.12</w:t>
            </w:r>
            <w:r w:rsidR="00A605E9">
              <w:rPr>
                <w:rFonts w:ascii="Times New Roman" w:hAnsi="Times New Roman" w:cs="Times New Roman"/>
                <w:bCs/>
                <w:szCs w:val="24"/>
              </w:rPr>
              <w:t>.</w:t>
            </w:r>
          </w:p>
          <w:p w14:paraId="40C18746" w14:textId="5DA57C26" w:rsidR="0046584B" w:rsidRPr="00321367" w:rsidRDefault="00A605E9" w:rsidP="002B5DC6">
            <w:pPr>
              <w:rPr>
                <w:rFonts w:ascii="Times New Roman" w:hAnsi="Times New Roman" w:cs="Times New Roman"/>
                <w:bCs/>
                <w:szCs w:val="24"/>
              </w:rPr>
            </w:pPr>
            <w:r>
              <w:rPr>
                <w:rFonts w:ascii="Times New Roman" w:hAnsi="Times New Roman" w:cs="Times New Roman"/>
                <w:iCs/>
                <w:szCs w:val="24"/>
              </w:rPr>
              <w:t>S</w:t>
            </w:r>
            <w:r w:rsidR="0046584B">
              <w:rPr>
                <w:rFonts w:ascii="Times New Roman" w:hAnsi="Times New Roman" w:cs="Times New Roman"/>
                <w:iCs/>
                <w:szCs w:val="24"/>
              </w:rPr>
              <w:t xml:space="preserve">kaidrojam, ka vienotās informatīvās apziņošanas sistēmas (VIAS) un videonovērošanas (VNS) komunikāciju un datu pārraides iekārtas tiek izmantotas kopīgi, tāpēc gan VIAS programmatūrai un VIAS serveru aparatūras kompleksam, gan VNS programmatūrai un VNS serveru aparatūras kompleksam ir jāatbilst </w:t>
            </w:r>
            <w:r w:rsidR="0046584B">
              <w:rPr>
                <w:rFonts w:ascii="Times New Roman" w:hAnsi="Times New Roman" w:cs="Times New Roman"/>
                <w:iCs/>
              </w:rPr>
              <w:t>Ministru kabineta 2015. gada 28. jūlija noteikumiem Nr. 442 “Kārtība, kādā tiek nodrošināta informācijas un komunikācijas tehnoloģiju sistēmu atbilstība minimālajām drošības prasībām” (turpmāk -</w:t>
            </w:r>
            <w:r w:rsidR="0046584B">
              <w:rPr>
                <w:rFonts w:ascii="Times New Roman" w:hAnsi="Times New Roman" w:cs="Times New Roman"/>
                <w:iCs/>
                <w:szCs w:val="24"/>
              </w:rPr>
              <w:t xml:space="preserve">MK </w:t>
            </w:r>
            <w:r w:rsidR="002B5DC6">
              <w:rPr>
                <w:rFonts w:ascii="Times New Roman" w:hAnsi="Times New Roman" w:cs="Times New Roman"/>
                <w:iCs/>
                <w:szCs w:val="24"/>
              </w:rPr>
              <w:t>noteikumi N.442) 7.1.3.</w:t>
            </w:r>
            <w:r w:rsidR="0046584B">
              <w:rPr>
                <w:rFonts w:ascii="Times New Roman" w:hAnsi="Times New Roman" w:cs="Times New Roman"/>
                <w:iCs/>
                <w:szCs w:val="24"/>
              </w:rPr>
              <w:t xml:space="preserve">punktā noteiktajai A pieejamības klasei, bez tam - VNS programmatūrai un VNS serveru aparatūras kompleksam ir jāatbilst MK </w:t>
            </w:r>
            <w:r w:rsidR="002B5DC6">
              <w:rPr>
                <w:rFonts w:ascii="Times New Roman" w:hAnsi="Times New Roman" w:cs="Times New Roman"/>
                <w:iCs/>
                <w:szCs w:val="24"/>
              </w:rPr>
              <w:t>noteikumu Nr.442</w:t>
            </w:r>
            <w:r w:rsidR="0046584B">
              <w:rPr>
                <w:rFonts w:ascii="Times New Roman" w:hAnsi="Times New Roman" w:cs="Times New Roman"/>
                <w:iCs/>
                <w:szCs w:val="24"/>
              </w:rPr>
              <w:t xml:space="preserve"> 7.1.9.punktā noteiktajai A konfidencialitātes klasei.</w:t>
            </w:r>
          </w:p>
        </w:tc>
      </w:tr>
      <w:tr w:rsidR="004B6956" w:rsidRPr="00F24055" w14:paraId="2B963CE5" w14:textId="77777777" w:rsidTr="004F0FC7">
        <w:trPr>
          <w:trHeight w:val="416"/>
          <w:jc w:val="center"/>
        </w:trPr>
        <w:tc>
          <w:tcPr>
            <w:tcW w:w="943" w:type="dxa"/>
            <w:shd w:val="clear" w:color="auto" w:fill="auto"/>
          </w:tcPr>
          <w:p w14:paraId="2B9CFCC9" w14:textId="3DAADEC1" w:rsidR="004B6956" w:rsidRDefault="004B6956"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5251" w:type="dxa"/>
            <w:shd w:val="clear" w:color="auto" w:fill="auto"/>
          </w:tcPr>
          <w:p w14:paraId="409A6B4F" w14:textId="05D8D387" w:rsidR="004B6956" w:rsidRPr="004B6956" w:rsidRDefault="004B6956" w:rsidP="004B6956">
            <w:pPr>
              <w:rPr>
                <w:rFonts w:ascii="Times New Roman" w:eastAsiaTheme="minorEastAsia" w:hAnsi="Times New Roman" w:cs="Times New Roman"/>
                <w:szCs w:val="24"/>
              </w:rPr>
            </w:pPr>
            <w:r w:rsidRPr="004B6956">
              <w:rPr>
                <w:rFonts w:ascii="Times New Roman" w:hAnsi="Times New Roman" w:cs="Times New Roman"/>
                <w:color w:val="000000"/>
                <w:lang w:eastAsia="en-US"/>
              </w:rPr>
              <w:t>Konkursa Nolikuma p.6.2.19 minēts, ka par būvdarbiem, kuri veikti VAS “Latvijas dzelzceļš” atsauksmes atsevišķa dokumenta formā nav jāiesniedz. Lūdzam apstiprināt, ka arī citus būvdarbu veikšanas apliecinošus dokumentus nav jāiesniedz pretendenta pieredzes apliecināšanai, ja būvdarbi tika veikti VAS "Latvijas dzelzceļš".</w:t>
            </w:r>
          </w:p>
        </w:tc>
        <w:tc>
          <w:tcPr>
            <w:tcW w:w="4055" w:type="dxa"/>
            <w:shd w:val="clear" w:color="auto" w:fill="auto"/>
          </w:tcPr>
          <w:p w14:paraId="7F1389B1" w14:textId="440A73FB" w:rsidR="004B6956" w:rsidRPr="00321367" w:rsidRDefault="0046584B" w:rsidP="004B6A32">
            <w:pPr>
              <w:rPr>
                <w:rFonts w:ascii="Times New Roman" w:hAnsi="Times New Roman" w:cs="Times New Roman"/>
                <w:bCs/>
                <w:szCs w:val="24"/>
              </w:rPr>
            </w:pPr>
            <w:r>
              <w:rPr>
                <w:rFonts w:ascii="Times New Roman" w:hAnsi="Times New Roman" w:cs="Times New Roman"/>
                <w:bCs/>
                <w:szCs w:val="24"/>
              </w:rPr>
              <w:t xml:space="preserve">Apstiprinām, ka </w:t>
            </w:r>
            <w:r w:rsidRPr="004B6956">
              <w:rPr>
                <w:rFonts w:ascii="Times New Roman" w:hAnsi="Times New Roman" w:cs="Times New Roman"/>
                <w:color w:val="000000"/>
                <w:lang w:eastAsia="en-US"/>
              </w:rPr>
              <w:t xml:space="preserve">būvdarbu veikšanas apliecinošus dokumentus nav jāiesniedz pretendenta pieredzes apliecināšanai, ja būvdarbi tika veikti </w:t>
            </w:r>
            <w:r w:rsidRPr="004F0FC7">
              <w:rPr>
                <w:rFonts w:ascii="Times New Roman" w:hAnsi="Times New Roman" w:cs="Times New Roman"/>
                <w:color w:val="000000"/>
                <w:lang w:eastAsia="en-US"/>
              </w:rPr>
              <w:t>VAS "Latvijas dzelzceļš" un skaidrojam, ka ir jānorāda atsauce uz līgumu un veiktajiem konkrētiem darbu veidiem.</w:t>
            </w:r>
          </w:p>
        </w:tc>
      </w:tr>
      <w:bookmarkEnd w:id="2"/>
    </w:tbl>
    <w:p w14:paraId="138AACB5" w14:textId="2C7A9C78" w:rsidR="00577433" w:rsidRPr="008B6DE7" w:rsidRDefault="00577433" w:rsidP="002F0616">
      <w:pPr>
        <w:spacing w:after="160" w:line="259" w:lineRule="auto"/>
        <w:rPr>
          <w:rFonts w:ascii="Times New Roman" w:hAnsi="Times New Roman" w:cs="Times New Roman"/>
          <w:sz w:val="24"/>
          <w:szCs w:val="24"/>
        </w:rPr>
      </w:pPr>
    </w:p>
    <w:sectPr w:rsidR="00577433" w:rsidRPr="008B6DE7"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DEA0A" w14:textId="77777777" w:rsidR="001D2A8E" w:rsidRDefault="001D2A8E" w:rsidP="00591256">
      <w:r>
        <w:separator/>
      </w:r>
    </w:p>
  </w:endnote>
  <w:endnote w:type="continuationSeparator" w:id="0">
    <w:p w14:paraId="061ED405" w14:textId="77777777" w:rsidR="001D2A8E" w:rsidRDefault="001D2A8E"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591256" w:rsidRDefault="00591256">
        <w:pPr>
          <w:pStyle w:val="Kjene"/>
          <w:jc w:val="center"/>
        </w:pPr>
        <w:r>
          <w:fldChar w:fldCharType="begin"/>
        </w:r>
        <w:r>
          <w:instrText xml:space="preserve"> PAGE   \* MERGEFORMAT </w:instrText>
        </w:r>
        <w:r>
          <w:fldChar w:fldCharType="separate"/>
        </w:r>
        <w:r w:rsidR="001360B9">
          <w:rPr>
            <w:noProof/>
          </w:rPr>
          <w:t>2</w:t>
        </w:r>
        <w:r>
          <w:rPr>
            <w:noProof/>
          </w:rPr>
          <w:fldChar w:fldCharType="end"/>
        </w:r>
      </w:p>
    </w:sdtContent>
  </w:sdt>
  <w:p w14:paraId="2A425A91"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930E9" w14:textId="77777777" w:rsidR="001D2A8E" w:rsidRDefault="001D2A8E" w:rsidP="00591256">
      <w:r>
        <w:separator/>
      </w:r>
    </w:p>
  </w:footnote>
  <w:footnote w:type="continuationSeparator" w:id="0">
    <w:p w14:paraId="371BD8A1" w14:textId="77777777" w:rsidR="001D2A8E" w:rsidRDefault="001D2A8E"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AE4"/>
    <w:multiLevelType w:val="hybridMultilevel"/>
    <w:tmpl w:val="CA128CF2"/>
    <w:lvl w:ilvl="0" w:tplc="0409000F">
      <w:start w:val="1"/>
      <w:numFmt w:val="decimal"/>
      <w:lvlText w:val="%1."/>
      <w:lvlJc w:val="left"/>
      <w:pPr>
        <w:ind w:left="1429" w:hanging="360"/>
      </w:pPr>
    </w:lvl>
    <w:lvl w:ilvl="1" w:tplc="9C7817AC">
      <w:numFmt w:val="bullet"/>
      <w:lvlText w:val="-"/>
      <w:lvlJc w:val="left"/>
      <w:pPr>
        <w:ind w:left="2149" w:hanging="360"/>
      </w:pPr>
      <w:rPr>
        <w:rFonts w:ascii="Times New Roman" w:eastAsiaTheme="minorEastAsia"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FF5B9E"/>
    <w:multiLevelType w:val="hybridMultilevel"/>
    <w:tmpl w:val="F98876AC"/>
    <w:lvl w:ilvl="0" w:tplc="58E23A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5E752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4E6E0917"/>
    <w:multiLevelType w:val="hybridMultilevel"/>
    <w:tmpl w:val="AD228CF4"/>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11E418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579A7639"/>
    <w:multiLevelType w:val="hybridMultilevel"/>
    <w:tmpl w:val="1F14B068"/>
    <w:lvl w:ilvl="0" w:tplc="024A34FC">
      <w:start w:val="1"/>
      <w:numFmt w:val="decimal"/>
      <w:lvlText w:val="%1."/>
      <w:lvlJc w:val="left"/>
      <w:pPr>
        <w:ind w:left="502" w:hanging="360"/>
      </w:pPr>
      <w:rPr>
        <w:rFonts w:ascii="Calibri" w:eastAsia="Times New Roman" w:hAnsi="Calibri" w:cs="Times New 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AE3BAB"/>
    <w:multiLevelType w:val="hybridMultilevel"/>
    <w:tmpl w:val="974CB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3"/>
  </w:num>
  <w:num w:numId="2">
    <w:abstractNumId w:val="10"/>
  </w:num>
  <w:num w:numId="3">
    <w:abstractNumId w:val="9"/>
  </w:num>
  <w:num w:numId="4">
    <w:abstractNumId w:val="3"/>
  </w:num>
  <w:num w:numId="5">
    <w:abstractNumId w:val="25"/>
  </w:num>
  <w:num w:numId="6">
    <w:abstractNumId w:val="20"/>
  </w:num>
  <w:num w:numId="7">
    <w:abstractNumId w:val="5"/>
  </w:num>
  <w:num w:numId="8">
    <w:abstractNumId w:val="19"/>
  </w:num>
  <w:num w:numId="9">
    <w:abstractNumId w:val="11"/>
  </w:num>
  <w:num w:numId="10">
    <w:abstractNumId w:val="15"/>
  </w:num>
  <w:num w:numId="11">
    <w:abstractNumId w:val="14"/>
  </w:num>
  <w:num w:numId="12">
    <w:abstractNumId w:val="4"/>
  </w:num>
  <w:num w:numId="13">
    <w:abstractNumId w:val="1"/>
  </w:num>
  <w:num w:numId="14">
    <w:abstractNumId w:val="12"/>
  </w:num>
  <w:num w:numId="15">
    <w:abstractNumId w:val="22"/>
  </w:num>
  <w:num w:numId="16">
    <w:abstractNumId w:val="8"/>
  </w:num>
  <w:num w:numId="17">
    <w:abstractNumId w:val="18"/>
  </w:num>
  <w:num w:numId="18">
    <w:abstractNumId w:val="6"/>
  </w:num>
  <w:num w:numId="19">
    <w:abstractNumId w:val="24"/>
  </w:num>
  <w:num w:numId="20">
    <w:abstractNumId w:val="17"/>
  </w:num>
  <w:num w:numId="21">
    <w:abstractNumId w:val="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37ACA"/>
    <w:rsid w:val="00052337"/>
    <w:rsid w:val="00055E2A"/>
    <w:rsid w:val="000646B8"/>
    <w:rsid w:val="00064EC3"/>
    <w:rsid w:val="00067370"/>
    <w:rsid w:val="000753AE"/>
    <w:rsid w:val="00075CD8"/>
    <w:rsid w:val="000806DD"/>
    <w:rsid w:val="000829DB"/>
    <w:rsid w:val="0008750A"/>
    <w:rsid w:val="0009126E"/>
    <w:rsid w:val="00093389"/>
    <w:rsid w:val="000A0B3D"/>
    <w:rsid w:val="000A54B7"/>
    <w:rsid w:val="000B1384"/>
    <w:rsid w:val="000C005E"/>
    <w:rsid w:val="000D1EE6"/>
    <w:rsid w:val="000F07E7"/>
    <w:rsid w:val="000F1484"/>
    <w:rsid w:val="000F2F27"/>
    <w:rsid w:val="000F595D"/>
    <w:rsid w:val="000F7B63"/>
    <w:rsid w:val="0010283F"/>
    <w:rsid w:val="001045FF"/>
    <w:rsid w:val="00107877"/>
    <w:rsid w:val="00107F7A"/>
    <w:rsid w:val="0011221E"/>
    <w:rsid w:val="00115906"/>
    <w:rsid w:val="00124FFD"/>
    <w:rsid w:val="00125CEF"/>
    <w:rsid w:val="00132AE1"/>
    <w:rsid w:val="001360B9"/>
    <w:rsid w:val="001447C7"/>
    <w:rsid w:val="001573E2"/>
    <w:rsid w:val="00160CF4"/>
    <w:rsid w:val="00163F1B"/>
    <w:rsid w:val="00163FA5"/>
    <w:rsid w:val="00165EA6"/>
    <w:rsid w:val="0017283D"/>
    <w:rsid w:val="001749C8"/>
    <w:rsid w:val="00185150"/>
    <w:rsid w:val="001A1E40"/>
    <w:rsid w:val="001A3C4E"/>
    <w:rsid w:val="001A3CAD"/>
    <w:rsid w:val="001B033F"/>
    <w:rsid w:val="001B211F"/>
    <w:rsid w:val="001B7B25"/>
    <w:rsid w:val="001C1DA6"/>
    <w:rsid w:val="001C4860"/>
    <w:rsid w:val="001D2A8E"/>
    <w:rsid w:val="001E151D"/>
    <w:rsid w:val="001F2825"/>
    <w:rsid w:val="001F2BA4"/>
    <w:rsid w:val="00204413"/>
    <w:rsid w:val="002150DD"/>
    <w:rsid w:val="00220950"/>
    <w:rsid w:val="00222330"/>
    <w:rsid w:val="00223533"/>
    <w:rsid w:val="002247D0"/>
    <w:rsid w:val="00227B32"/>
    <w:rsid w:val="002373A2"/>
    <w:rsid w:val="002378D3"/>
    <w:rsid w:val="00244F08"/>
    <w:rsid w:val="00246DAF"/>
    <w:rsid w:val="00247412"/>
    <w:rsid w:val="00251159"/>
    <w:rsid w:val="00263116"/>
    <w:rsid w:val="002646DA"/>
    <w:rsid w:val="00265DC7"/>
    <w:rsid w:val="002711AF"/>
    <w:rsid w:val="0028443C"/>
    <w:rsid w:val="00287375"/>
    <w:rsid w:val="00291E77"/>
    <w:rsid w:val="0029616F"/>
    <w:rsid w:val="00297DEA"/>
    <w:rsid w:val="002B5DC6"/>
    <w:rsid w:val="002C0FF0"/>
    <w:rsid w:val="002C1210"/>
    <w:rsid w:val="002D3176"/>
    <w:rsid w:val="002D3C18"/>
    <w:rsid w:val="002D6359"/>
    <w:rsid w:val="002E086F"/>
    <w:rsid w:val="002E107A"/>
    <w:rsid w:val="002E23F3"/>
    <w:rsid w:val="002F0616"/>
    <w:rsid w:val="002F0834"/>
    <w:rsid w:val="002F39DF"/>
    <w:rsid w:val="002F4012"/>
    <w:rsid w:val="0030311C"/>
    <w:rsid w:val="003148CF"/>
    <w:rsid w:val="00316E8F"/>
    <w:rsid w:val="003175C6"/>
    <w:rsid w:val="00321367"/>
    <w:rsid w:val="003217A6"/>
    <w:rsid w:val="00336EC0"/>
    <w:rsid w:val="00344070"/>
    <w:rsid w:val="00360298"/>
    <w:rsid w:val="00360B0E"/>
    <w:rsid w:val="00360B74"/>
    <w:rsid w:val="00362DF2"/>
    <w:rsid w:val="00366074"/>
    <w:rsid w:val="00370471"/>
    <w:rsid w:val="00370B7B"/>
    <w:rsid w:val="0037315B"/>
    <w:rsid w:val="003759C9"/>
    <w:rsid w:val="003764EE"/>
    <w:rsid w:val="00384823"/>
    <w:rsid w:val="003859C6"/>
    <w:rsid w:val="003872C0"/>
    <w:rsid w:val="00387ABF"/>
    <w:rsid w:val="0039358F"/>
    <w:rsid w:val="003957DA"/>
    <w:rsid w:val="00396D80"/>
    <w:rsid w:val="003A5DD6"/>
    <w:rsid w:val="003B276F"/>
    <w:rsid w:val="003C1F4C"/>
    <w:rsid w:val="003C415B"/>
    <w:rsid w:val="003D2470"/>
    <w:rsid w:val="003D3D1E"/>
    <w:rsid w:val="003D557C"/>
    <w:rsid w:val="003D576F"/>
    <w:rsid w:val="003F21B3"/>
    <w:rsid w:val="003F61B4"/>
    <w:rsid w:val="003F68BB"/>
    <w:rsid w:val="004115F0"/>
    <w:rsid w:val="00411CFA"/>
    <w:rsid w:val="00415931"/>
    <w:rsid w:val="00431C11"/>
    <w:rsid w:val="00445D89"/>
    <w:rsid w:val="0044683F"/>
    <w:rsid w:val="004525DD"/>
    <w:rsid w:val="00463E41"/>
    <w:rsid w:val="0046584B"/>
    <w:rsid w:val="004708C0"/>
    <w:rsid w:val="00476553"/>
    <w:rsid w:val="00481539"/>
    <w:rsid w:val="00487AFC"/>
    <w:rsid w:val="00492F79"/>
    <w:rsid w:val="004952D9"/>
    <w:rsid w:val="00496E06"/>
    <w:rsid w:val="00497CBE"/>
    <w:rsid w:val="004A09B4"/>
    <w:rsid w:val="004B1024"/>
    <w:rsid w:val="004B6956"/>
    <w:rsid w:val="004B6A0A"/>
    <w:rsid w:val="004B6A32"/>
    <w:rsid w:val="004C0488"/>
    <w:rsid w:val="004D1235"/>
    <w:rsid w:val="004D6653"/>
    <w:rsid w:val="004E6C6A"/>
    <w:rsid w:val="004E736D"/>
    <w:rsid w:val="004F0FC7"/>
    <w:rsid w:val="004F1F22"/>
    <w:rsid w:val="004F21DA"/>
    <w:rsid w:val="004F4D38"/>
    <w:rsid w:val="005020C2"/>
    <w:rsid w:val="0050366A"/>
    <w:rsid w:val="00506654"/>
    <w:rsid w:val="00510F6F"/>
    <w:rsid w:val="005116C3"/>
    <w:rsid w:val="0051308D"/>
    <w:rsid w:val="0051411C"/>
    <w:rsid w:val="00521CA5"/>
    <w:rsid w:val="00523800"/>
    <w:rsid w:val="00545067"/>
    <w:rsid w:val="005473D0"/>
    <w:rsid w:val="005571A9"/>
    <w:rsid w:val="005758A8"/>
    <w:rsid w:val="00577433"/>
    <w:rsid w:val="00584864"/>
    <w:rsid w:val="0058598B"/>
    <w:rsid w:val="00591256"/>
    <w:rsid w:val="00592137"/>
    <w:rsid w:val="00592BA6"/>
    <w:rsid w:val="005A0416"/>
    <w:rsid w:val="005A7063"/>
    <w:rsid w:val="005A7607"/>
    <w:rsid w:val="005B10F1"/>
    <w:rsid w:val="005B5129"/>
    <w:rsid w:val="005B6E3D"/>
    <w:rsid w:val="005B7DF6"/>
    <w:rsid w:val="005C481A"/>
    <w:rsid w:val="005C70CF"/>
    <w:rsid w:val="005D000F"/>
    <w:rsid w:val="005D3681"/>
    <w:rsid w:val="005E025F"/>
    <w:rsid w:val="005E0FCD"/>
    <w:rsid w:val="005F3F54"/>
    <w:rsid w:val="00602A51"/>
    <w:rsid w:val="00614E0C"/>
    <w:rsid w:val="0061585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733E0"/>
    <w:rsid w:val="00677617"/>
    <w:rsid w:val="00685C3C"/>
    <w:rsid w:val="00686911"/>
    <w:rsid w:val="006871BA"/>
    <w:rsid w:val="006A72F0"/>
    <w:rsid w:val="006B40CC"/>
    <w:rsid w:val="006B5391"/>
    <w:rsid w:val="006B5E9E"/>
    <w:rsid w:val="006C13E6"/>
    <w:rsid w:val="006C49E8"/>
    <w:rsid w:val="006D4EF1"/>
    <w:rsid w:val="006D531C"/>
    <w:rsid w:val="006E4E38"/>
    <w:rsid w:val="006E6BDE"/>
    <w:rsid w:val="006F0B85"/>
    <w:rsid w:val="006F1AA9"/>
    <w:rsid w:val="006F698B"/>
    <w:rsid w:val="00702370"/>
    <w:rsid w:val="007068FA"/>
    <w:rsid w:val="00711F79"/>
    <w:rsid w:val="00713CA1"/>
    <w:rsid w:val="00713DC9"/>
    <w:rsid w:val="00713FBD"/>
    <w:rsid w:val="0072612E"/>
    <w:rsid w:val="0072622F"/>
    <w:rsid w:val="007348A5"/>
    <w:rsid w:val="00735553"/>
    <w:rsid w:val="0074249C"/>
    <w:rsid w:val="00744340"/>
    <w:rsid w:val="007537DC"/>
    <w:rsid w:val="00761806"/>
    <w:rsid w:val="00764E82"/>
    <w:rsid w:val="00771001"/>
    <w:rsid w:val="00773099"/>
    <w:rsid w:val="007842AC"/>
    <w:rsid w:val="007879F0"/>
    <w:rsid w:val="0079216E"/>
    <w:rsid w:val="0079365B"/>
    <w:rsid w:val="007A0FA5"/>
    <w:rsid w:val="007A2365"/>
    <w:rsid w:val="007A5728"/>
    <w:rsid w:val="007C4A77"/>
    <w:rsid w:val="007D2D06"/>
    <w:rsid w:val="007E0D88"/>
    <w:rsid w:val="007E64FF"/>
    <w:rsid w:val="00803C0D"/>
    <w:rsid w:val="00805B84"/>
    <w:rsid w:val="00810B79"/>
    <w:rsid w:val="00813C10"/>
    <w:rsid w:val="00816A26"/>
    <w:rsid w:val="008219EC"/>
    <w:rsid w:val="00852402"/>
    <w:rsid w:val="00852D60"/>
    <w:rsid w:val="00853ABB"/>
    <w:rsid w:val="0085678F"/>
    <w:rsid w:val="00856808"/>
    <w:rsid w:val="00863EBB"/>
    <w:rsid w:val="00864F83"/>
    <w:rsid w:val="00865712"/>
    <w:rsid w:val="008669B1"/>
    <w:rsid w:val="00884863"/>
    <w:rsid w:val="008862F5"/>
    <w:rsid w:val="00886B54"/>
    <w:rsid w:val="00892BED"/>
    <w:rsid w:val="008A41C8"/>
    <w:rsid w:val="008A44DC"/>
    <w:rsid w:val="008B00F4"/>
    <w:rsid w:val="008B6DE7"/>
    <w:rsid w:val="008C59C7"/>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431B9"/>
    <w:rsid w:val="00951A11"/>
    <w:rsid w:val="009624F7"/>
    <w:rsid w:val="009656D4"/>
    <w:rsid w:val="009852CE"/>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1233E"/>
    <w:rsid w:val="00A15D2E"/>
    <w:rsid w:val="00A176F5"/>
    <w:rsid w:val="00A208FA"/>
    <w:rsid w:val="00A21BD0"/>
    <w:rsid w:val="00A334F7"/>
    <w:rsid w:val="00A3521F"/>
    <w:rsid w:val="00A35E2D"/>
    <w:rsid w:val="00A37160"/>
    <w:rsid w:val="00A37468"/>
    <w:rsid w:val="00A37797"/>
    <w:rsid w:val="00A4324E"/>
    <w:rsid w:val="00A46098"/>
    <w:rsid w:val="00A46AE8"/>
    <w:rsid w:val="00A605E9"/>
    <w:rsid w:val="00A63CF1"/>
    <w:rsid w:val="00A741E4"/>
    <w:rsid w:val="00A75BAC"/>
    <w:rsid w:val="00A76302"/>
    <w:rsid w:val="00A82463"/>
    <w:rsid w:val="00A83BB4"/>
    <w:rsid w:val="00A863C0"/>
    <w:rsid w:val="00A935A5"/>
    <w:rsid w:val="00A93B57"/>
    <w:rsid w:val="00A954CA"/>
    <w:rsid w:val="00A9595B"/>
    <w:rsid w:val="00A96D6A"/>
    <w:rsid w:val="00AB3618"/>
    <w:rsid w:val="00AB3E9F"/>
    <w:rsid w:val="00AB5C67"/>
    <w:rsid w:val="00AC01EB"/>
    <w:rsid w:val="00AC7B56"/>
    <w:rsid w:val="00AD5116"/>
    <w:rsid w:val="00AE1116"/>
    <w:rsid w:val="00AE5484"/>
    <w:rsid w:val="00AE5C91"/>
    <w:rsid w:val="00AF1DAE"/>
    <w:rsid w:val="00B04E8A"/>
    <w:rsid w:val="00B0570E"/>
    <w:rsid w:val="00B20E0D"/>
    <w:rsid w:val="00B22682"/>
    <w:rsid w:val="00B237E9"/>
    <w:rsid w:val="00B24562"/>
    <w:rsid w:val="00B27D58"/>
    <w:rsid w:val="00B30B4F"/>
    <w:rsid w:val="00B310B5"/>
    <w:rsid w:val="00B31B02"/>
    <w:rsid w:val="00B45A34"/>
    <w:rsid w:val="00B576FD"/>
    <w:rsid w:val="00B57CB0"/>
    <w:rsid w:val="00B62BFC"/>
    <w:rsid w:val="00B67415"/>
    <w:rsid w:val="00B728FD"/>
    <w:rsid w:val="00B73FBA"/>
    <w:rsid w:val="00B76621"/>
    <w:rsid w:val="00B8392C"/>
    <w:rsid w:val="00B83B39"/>
    <w:rsid w:val="00B872A1"/>
    <w:rsid w:val="00B9005B"/>
    <w:rsid w:val="00B94E33"/>
    <w:rsid w:val="00BB3722"/>
    <w:rsid w:val="00BC14CF"/>
    <w:rsid w:val="00BC2F39"/>
    <w:rsid w:val="00BE0F84"/>
    <w:rsid w:val="00BE4FCB"/>
    <w:rsid w:val="00BF0C0C"/>
    <w:rsid w:val="00BF5415"/>
    <w:rsid w:val="00C0200B"/>
    <w:rsid w:val="00C04B47"/>
    <w:rsid w:val="00C1211C"/>
    <w:rsid w:val="00C1296A"/>
    <w:rsid w:val="00C24EDE"/>
    <w:rsid w:val="00C351C9"/>
    <w:rsid w:val="00C46156"/>
    <w:rsid w:val="00C47038"/>
    <w:rsid w:val="00C5337F"/>
    <w:rsid w:val="00C5452E"/>
    <w:rsid w:val="00C60855"/>
    <w:rsid w:val="00C7734F"/>
    <w:rsid w:val="00C864F5"/>
    <w:rsid w:val="00C867EA"/>
    <w:rsid w:val="00C86975"/>
    <w:rsid w:val="00C87D1D"/>
    <w:rsid w:val="00C90079"/>
    <w:rsid w:val="00CA194D"/>
    <w:rsid w:val="00CB25A5"/>
    <w:rsid w:val="00CB6523"/>
    <w:rsid w:val="00CB7579"/>
    <w:rsid w:val="00CE0AC2"/>
    <w:rsid w:val="00CF6C45"/>
    <w:rsid w:val="00D06FA3"/>
    <w:rsid w:val="00D1186B"/>
    <w:rsid w:val="00D1482E"/>
    <w:rsid w:val="00D17FBF"/>
    <w:rsid w:val="00D23DE6"/>
    <w:rsid w:val="00D3561F"/>
    <w:rsid w:val="00D359AE"/>
    <w:rsid w:val="00D41F4A"/>
    <w:rsid w:val="00D4239E"/>
    <w:rsid w:val="00D564B8"/>
    <w:rsid w:val="00D57006"/>
    <w:rsid w:val="00D57579"/>
    <w:rsid w:val="00D61B22"/>
    <w:rsid w:val="00D665FB"/>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DF7077"/>
    <w:rsid w:val="00E0059C"/>
    <w:rsid w:val="00E05E6B"/>
    <w:rsid w:val="00E07252"/>
    <w:rsid w:val="00E10CA5"/>
    <w:rsid w:val="00E15041"/>
    <w:rsid w:val="00E26D46"/>
    <w:rsid w:val="00E30DA2"/>
    <w:rsid w:val="00E30FB4"/>
    <w:rsid w:val="00E332E1"/>
    <w:rsid w:val="00E423E0"/>
    <w:rsid w:val="00E45778"/>
    <w:rsid w:val="00E50083"/>
    <w:rsid w:val="00E71D3D"/>
    <w:rsid w:val="00E74F21"/>
    <w:rsid w:val="00E74F57"/>
    <w:rsid w:val="00E777EE"/>
    <w:rsid w:val="00E82AFA"/>
    <w:rsid w:val="00E934D7"/>
    <w:rsid w:val="00E941A3"/>
    <w:rsid w:val="00EA2EC9"/>
    <w:rsid w:val="00EA572A"/>
    <w:rsid w:val="00EA6564"/>
    <w:rsid w:val="00EA7F09"/>
    <w:rsid w:val="00ED3983"/>
    <w:rsid w:val="00ED5BAB"/>
    <w:rsid w:val="00ED72A4"/>
    <w:rsid w:val="00EE6564"/>
    <w:rsid w:val="00EF6932"/>
    <w:rsid w:val="00F05C46"/>
    <w:rsid w:val="00F06F41"/>
    <w:rsid w:val="00F11C52"/>
    <w:rsid w:val="00F12D47"/>
    <w:rsid w:val="00F142F1"/>
    <w:rsid w:val="00F24055"/>
    <w:rsid w:val="00F321DE"/>
    <w:rsid w:val="00F402C6"/>
    <w:rsid w:val="00F57D03"/>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C113A"/>
    <w:rsid w:val="00FD1298"/>
    <w:rsid w:val="00FD26CC"/>
    <w:rsid w:val="00FE631B"/>
    <w:rsid w:val="00FF230D"/>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7FF0-CE37-42A6-8354-CF6A5209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2164</Words>
  <Characters>1234</Characters>
  <Application>Microsoft Office Word</Application>
  <DocSecurity>0</DocSecurity>
  <Lines>10</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Zilberga</cp:lastModifiedBy>
  <cp:revision>2</cp:revision>
  <cp:lastPrinted>2020-09-16T09:55:00Z</cp:lastPrinted>
  <dcterms:created xsi:type="dcterms:W3CDTF">2020-10-09T11:47:00Z</dcterms:created>
  <dcterms:modified xsi:type="dcterms:W3CDTF">2020-10-09T11:47:00Z</dcterms:modified>
</cp:coreProperties>
</file>