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EE53" w14:textId="77777777" w:rsidR="00173A42" w:rsidRPr="006716C7" w:rsidRDefault="00173A42" w:rsidP="00173A42">
      <w:pPr>
        <w:tabs>
          <w:tab w:val="left" w:pos="13185"/>
        </w:tabs>
        <w:spacing w:after="0"/>
        <w:jc w:val="right"/>
        <w:rPr>
          <w:rFonts w:ascii="Arial" w:hAnsi="Arial" w:cs="Arial"/>
        </w:rPr>
      </w:pPr>
      <w:r w:rsidRPr="006716C7">
        <w:rPr>
          <w:rFonts w:ascii="Arial" w:hAnsi="Arial" w:cs="Arial"/>
          <w:b/>
          <w:bCs/>
        </w:rPr>
        <w:t>APSTIPRINĀTS</w:t>
      </w:r>
      <w:r w:rsidRPr="006716C7">
        <w:rPr>
          <w:rFonts w:ascii="Arial" w:hAnsi="Arial" w:cs="Arial"/>
        </w:rPr>
        <w:t>:</w:t>
      </w:r>
    </w:p>
    <w:p w14:paraId="69A290EF" w14:textId="77777777" w:rsidR="00173A42" w:rsidRPr="006716C7" w:rsidRDefault="00173A42" w:rsidP="00173A42">
      <w:pPr>
        <w:tabs>
          <w:tab w:val="left" w:pos="13185"/>
        </w:tabs>
        <w:spacing w:after="0"/>
        <w:jc w:val="right"/>
        <w:rPr>
          <w:rFonts w:ascii="Arial" w:hAnsi="Arial" w:cs="Arial"/>
        </w:rPr>
      </w:pPr>
      <w:r w:rsidRPr="006716C7">
        <w:rPr>
          <w:rFonts w:ascii="Arial" w:hAnsi="Arial" w:cs="Arial"/>
        </w:rPr>
        <w:t xml:space="preserve">ar iepirkuma komisijas 2026.gada 24.marta </w:t>
      </w:r>
    </w:p>
    <w:p w14:paraId="1C9F162A" w14:textId="77777777" w:rsidR="00173A42" w:rsidRPr="006716C7" w:rsidRDefault="00173A42" w:rsidP="00173A42">
      <w:pPr>
        <w:tabs>
          <w:tab w:val="left" w:pos="13185"/>
        </w:tabs>
        <w:spacing w:after="0"/>
        <w:jc w:val="right"/>
        <w:rPr>
          <w:rFonts w:ascii="Arial" w:hAnsi="Arial" w:cs="Arial"/>
        </w:rPr>
      </w:pPr>
      <w:r w:rsidRPr="006716C7">
        <w:rPr>
          <w:rFonts w:ascii="Arial" w:hAnsi="Arial" w:cs="Arial"/>
        </w:rPr>
        <w:t>sēdes protokolu Nr.2</w:t>
      </w:r>
    </w:p>
    <w:p w14:paraId="1E220DF8" w14:textId="77777777" w:rsidR="00173A42" w:rsidRPr="006716C7" w:rsidRDefault="00173A42" w:rsidP="00173A42">
      <w:pPr>
        <w:pStyle w:val="Default"/>
        <w:jc w:val="center"/>
        <w:rPr>
          <w:rFonts w:ascii="Arial" w:hAnsi="Arial" w:cs="Arial"/>
          <w:b/>
          <w:bCs/>
          <w:color w:val="auto"/>
          <w:sz w:val="22"/>
          <w:szCs w:val="22"/>
        </w:rPr>
      </w:pPr>
    </w:p>
    <w:p w14:paraId="1B7EAC3A" w14:textId="77777777" w:rsidR="00173A42" w:rsidRPr="006716C7" w:rsidRDefault="00173A42" w:rsidP="00173A42">
      <w:pPr>
        <w:pStyle w:val="Default"/>
        <w:jc w:val="center"/>
        <w:rPr>
          <w:rFonts w:ascii="Arial" w:hAnsi="Arial" w:cs="Arial"/>
          <w:b/>
          <w:bCs/>
          <w:sz w:val="22"/>
          <w:szCs w:val="22"/>
        </w:rPr>
      </w:pPr>
      <w:r w:rsidRPr="006716C7">
        <w:rPr>
          <w:rFonts w:ascii="Arial" w:hAnsi="Arial" w:cs="Arial"/>
          <w:b/>
          <w:bCs/>
          <w:color w:val="auto"/>
          <w:sz w:val="22"/>
          <w:szCs w:val="22"/>
        </w:rPr>
        <w:t>SIA</w:t>
      </w:r>
      <w:r w:rsidRPr="006716C7">
        <w:rPr>
          <w:rFonts w:ascii="Arial" w:hAnsi="Arial" w:cs="Arial"/>
          <w:b/>
          <w:bCs/>
          <w:sz w:val="22"/>
          <w:szCs w:val="22"/>
        </w:rPr>
        <w:t xml:space="preserve"> “LDZ CARGO” </w:t>
      </w:r>
    </w:p>
    <w:p w14:paraId="65A1EB55" w14:textId="77777777" w:rsidR="00173A42" w:rsidRPr="006716C7" w:rsidRDefault="00173A42" w:rsidP="00173A42">
      <w:pPr>
        <w:pStyle w:val="Default"/>
        <w:jc w:val="center"/>
        <w:rPr>
          <w:rFonts w:ascii="Arial" w:hAnsi="Arial" w:cs="Arial"/>
          <w:b/>
          <w:bCs/>
          <w:sz w:val="22"/>
          <w:szCs w:val="22"/>
        </w:rPr>
      </w:pPr>
      <w:r w:rsidRPr="006716C7">
        <w:rPr>
          <w:rFonts w:ascii="Arial" w:hAnsi="Arial" w:cs="Arial"/>
          <w:b/>
          <w:bCs/>
          <w:sz w:val="22"/>
          <w:szCs w:val="22"/>
        </w:rPr>
        <w:t xml:space="preserve">sarunu procedūras ar publikāciju </w:t>
      </w:r>
    </w:p>
    <w:p w14:paraId="0FCE19E9" w14:textId="77777777" w:rsidR="00173A42" w:rsidRPr="006716C7" w:rsidRDefault="00173A42" w:rsidP="00173A42">
      <w:pPr>
        <w:pStyle w:val="Default"/>
        <w:jc w:val="center"/>
        <w:rPr>
          <w:rFonts w:ascii="Arial" w:hAnsi="Arial" w:cs="Arial"/>
          <w:b/>
          <w:bCs/>
          <w:sz w:val="22"/>
          <w:szCs w:val="22"/>
        </w:rPr>
      </w:pPr>
      <w:r w:rsidRPr="006716C7">
        <w:rPr>
          <w:rFonts w:ascii="Arial" w:hAnsi="Arial" w:cs="Arial"/>
          <w:b/>
          <w:bCs/>
          <w:sz w:val="22"/>
          <w:szCs w:val="22"/>
        </w:rPr>
        <w:t>„Dzelzceļa kravas vagonu nogādāšana no Ukrainas un Moldovas dzelzceļa uz Latvijas dzelzceļu”</w:t>
      </w:r>
    </w:p>
    <w:p w14:paraId="70C4C70C" w14:textId="77777777" w:rsidR="00173A42" w:rsidRPr="006716C7" w:rsidRDefault="00173A42" w:rsidP="00173A42">
      <w:pPr>
        <w:pStyle w:val="Default"/>
        <w:jc w:val="center"/>
        <w:rPr>
          <w:rFonts w:ascii="Arial" w:hAnsi="Arial" w:cs="Arial"/>
          <w:b/>
          <w:bCs/>
          <w:sz w:val="22"/>
          <w:szCs w:val="22"/>
        </w:rPr>
      </w:pPr>
      <w:r>
        <w:rPr>
          <w:rFonts w:ascii="Arial" w:hAnsi="Arial" w:cs="Arial"/>
          <w:b/>
          <w:bCs/>
          <w:sz w:val="22"/>
          <w:szCs w:val="22"/>
        </w:rPr>
        <w:t>s</w:t>
      </w:r>
      <w:r w:rsidRPr="006716C7">
        <w:rPr>
          <w:rFonts w:ascii="Arial" w:hAnsi="Arial" w:cs="Arial"/>
          <w:b/>
          <w:bCs/>
          <w:sz w:val="22"/>
          <w:szCs w:val="22"/>
        </w:rPr>
        <w:t xml:space="preserve">kaidrojums Nr.1. </w:t>
      </w:r>
    </w:p>
    <w:p w14:paraId="48151B88" w14:textId="77777777" w:rsidR="00173A42" w:rsidRPr="006716C7" w:rsidRDefault="00173A42" w:rsidP="00173A42">
      <w:pPr>
        <w:pStyle w:val="Default"/>
        <w:jc w:val="center"/>
        <w:rPr>
          <w:rFonts w:ascii="Arial" w:hAnsi="Arial" w:cs="Arial"/>
          <w:b/>
          <w:bCs/>
          <w:sz w:val="22"/>
          <w:szCs w:val="22"/>
        </w:rPr>
      </w:pPr>
    </w:p>
    <w:tbl>
      <w:tblPr>
        <w:tblStyle w:val="TableGrid"/>
        <w:tblW w:w="0" w:type="auto"/>
        <w:tblInd w:w="-431" w:type="dxa"/>
        <w:tblLook w:val="04A0" w:firstRow="1" w:lastRow="0" w:firstColumn="1" w:lastColumn="0" w:noHBand="0" w:noVBand="1"/>
      </w:tblPr>
      <w:tblGrid>
        <w:gridCol w:w="561"/>
        <w:gridCol w:w="4372"/>
        <w:gridCol w:w="3794"/>
      </w:tblGrid>
      <w:tr w:rsidR="00173A42" w:rsidRPr="006716C7" w14:paraId="03C93325" w14:textId="77777777" w:rsidTr="0035264A">
        <w:tc>
          <w:tcPr>
            <w:tcW w:w="561" w:type="dxa"/>
          </w:tcPr>
          <w:p w14:paraId="6CCE1A21"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Nr.</w:t>
            </w:r>
          </w:p>
          <w:p w14:paraId="39CD4924"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p.k.</w:t>
            </w:r>
          </w:p>
        </w:tc>
        <w:tc>
          <w:tcPr>
            <w:tcW w:w="4684" w:type="dxa"/>
          </w:tcPr>
          <w:p w14:paraId="137BCC50"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Jautājums</w:t>
            </w:r>
          </w:p>
        </w:tc>
        <w:tc>
          <w:tcPr>
            <w:tcW w:w="4098" w:type="dxa"/>
          </w:tcPr>
          <w:p w14:paraId="0F59D190"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Atbilde</w:t>
            </w:r>
          </w:p>
        </w:tc>
      </w:tr>
      <w:tr w:rsidR="00173A42" w:rsidRPr="006716C7" w14:paraId="1DB03BA7" w14:textId="77777777" w:rsidTr="0035264A">
        <w:tc>
          <w:tcPr>
            <w:tcW w:w="561" w:type="dxa"/>
          </w:tcPr>
          <w:p w14:paraId="58BBBDE6" w14:textId="77777777" w:rsidR="00173A42" w:rsidRPr="006716C7" w:rsidRDefault="00173A42" w:rsidP="0035264A">
            <w:pPr>
              <w:pStyle w:val="Default"/>
              <w:tabs>
                <w:tab w:val="left" w:pos="345"/>
              </w:tabs>
              <w:jc w:val="center"/>
              <w:rPr>
                <w:rFonts w:ascii="Arial" w:hAnsi="Arial" w:cs="Arial"/>
                <w:b/>
                <w:bCs/>
                <w:sz w:val="20"/>
                <w:szCs w:val="20"/>
              </w:rPr>
            </w:pPr>
            <w:r w:rsidRPr="006716C7">
              <w:rPr>
                <w:rFonts w:ascii="Arial" w:hAnsi="Arial" w:cs="Arial"/>
                <w:b/>
                <w:bCs/>
                <w:sz w:val="20"/>
                <w:szCs w:val="20"/>
              </w:rPr>
              <w:t>1.</w:t>
            </w:r>
          </w:p>
        </w:tc>
        <w:tc>
          <w:tcPr>
            <w:tcW w:w="4684" w:type="dxa"/>
          </w:tcPr>
          <w:p w14:paraId="357107E2" w14:textId="77777777" w:rsidR="00173A42" w:rsidRPr="006716C7" w:rsidRDefault="00173A42" w:rsidP="0035264A">
            <w:pPr>
              <w:rPr>
                <w:rFonts w:ascii="Arial" w:hAnsi="Arial" w:cs="Arial"/>
                <w:color w:val="2F3239" w:themeColor="text1"/>
                <w:sz w:val="20"/>
                <w:szCs w:val="20"/>
              </w:rPr>
            </w:pPr>
            <w:r w:rsidRPr="006716C7">
              <w:rPr>
                <w:rFonts w:ascii="Arial" w:hAnsi="Arial" w:cs="Arial"/>
                <w:color w:val="2F3239" w:themeColor="text1"/>
                <w:sz w:val="20"/>
                <w:szCs w:val="20"/>
              </w:rPr>
              <w:t>Is it possible to agree that customer hands over at least 20 empty wagons and at most 25 empty wagons transportation at the same time by one group at the place of (station at the border - UA-PL - Hrubieszów freight. - Sędziszów LHS) ?</w:t>
            </w:r>
          </w:p>
          <w:p w14:paraId="4C482F16" w14:textId="77777777" w:rsidR="00173A42" w:rsidRPr="006716C7" w:rsidRDefault="00173A42" w:rsidP="0035264A">
            <w:pPr>
              <w:rPr>
                <w:rFonts w:ascii="Arial" w:hAnsi="Arial" w:cs="Arial"/>
                <w:color w:val="2F3239" w:themeColor="text1"/>
                <w:sz w:val="20"/>
                <w:szCs w:val="20"/>
              </w:rPr>
            </w:pPr>
          </w:p>
          <w:p w14:paraId="13E86C13" w14:textId="77777777" w:rsidR="00173A42" w:rsidRPr="006716C7" w:rsidRDefault="00173A42" w:rsidP="0035264A">
            <w:pPr>
              <w:pStyle w:val="Default"/>
              <w:rPr>
                <w:rFonts w:ascii="Arial" w:hAnsi="Arial" w:cs="Arial"/>
                <w:i/>
                <w:iCs/>
                <w:sz w:val="20"/>
                <w:szCs w:val="20"/>
              </w:rPr>
            </w:pPr>
          </w:p>
          <w:p w14:paraId="1C975592" w14:textId="77777777" w:rsidR="00173A42" w:rsidRPr="006716C7" w:rsidRDefault="00173A42" w:rsidP="0035264A">
            <w:pPr>
              <w:pStyle w:val="Default"/>
              <w:rPr>
                <w:rFonts w:ascii="Arial" w:hAnsi="Arial" w:cs="Arial"/>
                <w:i/>
                <w:iCs/>
                <w:sz w:val="20"/>
                <w:szCs w:val="20"/>
              </w:rPr>
            </w:pPr>
            <w:r w:rsidRPr="006716C7">
              <w:rPr>
                <w:rFonts w:ascii="Arial" w:hAnsi="Arial" w:cs="Arial"/>
                <w:i/>
                <w:iCs/>
                <w:sz w:val="20"/>
                <w:szCs w:val="20"/>
              </w:rPr>
              <w:t>Vai ir iespējams vienoties, ka klients vienlaikus nodod vismaz 20 tukšus vagonus un ne vairāk kā 25 tukšus vagonus, ko pārvadā viena grupa noteiktā vietā (robežstacijā - UA-PL - Hrubieszów kravu pārvadājumi. - Sędziszów LHS)?</w:t>
            </w:r>
          </w:p>
          <w:p w14:paraId="74BA725D" w14:textId="77777777" w:rsidR="00173A42" w:rsidRPr="006716C7" w:rsidRDefault="00173A42" w:rsidP="0035264A">
            <w:pPr>
              <w:pStyle w:val="Default"/>
              <w:rPr>
                <w:rFonts w:ascii="Arial" w:hAnsi="Arial" w:cs="Arial"/>
                <w:b/>
                <w:bCs/>
                <w:sz w:val="20"/>
                <w:szCs w:val="20"/>
              </w:rPr>
            </w:pPr>
          </w:p>
        </w:tc>
        <w:tc>
          <w:tcPr>
            <w:tcW w:w="4098" w:type="dxa"/>
          </w:tcPr>
          <w:p w14:paraId="2FC2600F" w14:textId="77777777" w:rsidR="00173A42" w:rsidRPr="003A1914" w:rsidRDefault="00173A42" w:rsidP="0035264A">
            <w:pPr>
              <w:pStyle w:val="NoSpacing"/>
              <w:rPr>
                <w:rFonts w:ascii="Arial" w:hAnsi="Arial" w:cs="Arial"/>
                <w:sz w:val="20"/>
                <w:szCs w:val="20"/>
              </w:rPr>
            </w:pPr>
            <w:r w:rsidRPr="003A1914">
              <w:rPr>
                <w:rFonts w:ascii="Arial" w:hAnsi="Arial" w:cs="Arial"/>
                <w:sz w:val="20"/>
                <w:szCs w:val="20"/>
              </w:rPr>
              <w:t>The wagons must be delivered</w:t>
            </w:r>
            <w:r w:rsidRPr="003A1914">
              <w:rPr>
                <w:rFonts w:ascii="Arial" w:hAnsi="Arial" w:cs="Arial"/>
                <w:sz w:val="20"/>
                <w:szCs w:val="20"/>
                <w:lang w:val="en"/>
              </w:rPr>
              <w:t xml:space="preserve"> to Daugavpils station</w:t>
            </w:r>
            <w:r w:rsidRPr="003A1914">
              <w:rPr>
                <w:rFonts w:ascii="Arial" w:hAnsi="Arial" w:cs="Arial"/>
                <w:sz w:val="20"/>
                <w:szCs w:val="20"/>
              </w:rPr>
              <w:t xml:space="preserve"> from the Ukrainian stations specified in the </w:t>
            </w:r>
            <w:r>
              <w:rPr>
                <w:rFonts w:ascii="Arial" w:hAnsi="Arial" w:cs="Arial"/>
                <w:sz w:val="20"/>
                <w:szCs w:val="20"/>
              </w:rPr>
              <w:t>T</w:t>
            </w:r>
            <w:r w:rsidRPr="003A1914">
              <w:rPr>
                <w:rFonts w:ascii="Arial" w:hAnsi="Arial" w:cs="Arial"/>
                <w:sz w:val="20"/>
                <w:szCs w:val="20"/>
              </w:rPr>
              <w:t>echnical specifications not from UA-PL border station. The number  of the wagons</w:t>
            </w:r>
            <w:r w:rsidRPr="003A1914">
              <w:rPr>
                <w:rFonts w:ascii="Arial" w:hAnsi="Arial" w:cs="Arial"/>
                <w:sz w:val="20"/>
                <w:szCs w:val="20"/>
                <w:lang w:val="en"/>
              </w:rPr>
              <w:t xml:space="preserve"> for each delivery</w:t>
            </w:r>
            <w:r w:rsidRPr="003A1914">
              <w:rPr>
                <w:rFonts w:ascii="Arial" w:hAnsi="Arial" w:cs="Arial"/>
                <w:sz w:val="20"/>
                <w:szCs w:val="20"/>
              </w:rPr>
              <w:t xml:space="preserve"> will be discussed separately, </w:t>
            </w:r>
            <w:r w:rsidRPr="003A1914">
              <w:rPr>
                <w:rFonts w:ascii="Arial" w:hAnsi="Arial" w:cs="Arial"/>
                <w:sz w:val="20"/>
                <w:szCs w:val="20"/>
                <w:lang w:val="en"/>
              </w:rPr>
              <w:t xml:space="preserve"> but the place of receipt of the wagons will not change, it is the station specified in the Technical </w:t>
            </w:r>
            <w:r>
              <w:rPr>
                <w:rFonts w:ascii="Arial" w:hAnsi="Arial" w:cs="Arial"/>
                <w:sz w:val="20"/>
                <w:szCs w:val="20"/>
                <w:lang w:val="en"/>
              </w:rPr>
              <w:t>s</w:t>
            </w:r>
            <w:r w:rsidRPr="003A1914">
              <w:rPr>
                <w:rFonts w:ascii="Arial" w:hAnsi="Arial" w:cs="Arial"/>
                <w:sz w:val="20"/>
                <w:szCs w:val="20"/>
                <w:lang w:val="en"/>
              </w:rPr>
              <w:t>pecification.</w:t>
            </w:r>
          </w:p>
          <w:p w14:paraId="4EEBE61B" w14:textId="77777777" w:rsidR="00173A42" w:rsidRDefault="00173A42" w:rsidP="0035264A">
            <w:pPr>
              <w:pStyle w:val="Default"/>
              <w:rPr>
                <w:rFonts w:ascii="Arial" w:hAnsi="Arial" w:cs="Arial"/>
                <w:i/>
                <w:iCs/>
                <w:sz w:val="20"/>
                <w:szCs w:val="20"/>
              </w:rPr>
            </w:pPr>
            <w:bookmarkStart w:id="0" w:name="_Hlk225257081"/>
          </w:p>
          <w:p w14:paraId="2DF305F8" w14:textId="77777777" w:rsidR="00173A42" w:rsidRDefault="00173A42" w:rsidP="0035264A">
            <w:pPr>
              <w:pStyle w:val="Default"/>
              <w:rPr>
                <w:rFonts w:ascii="Arial" w:hAnsi="Arial" w:cs="Arial"/>
                <w:i/>
                <w:iCs/>
                <w:sz w:val="20"/>
                <w:szCs w:val="20"/>
              </w:rPr>
            </w:pPr>
            <w:r w:rsidRPr="006716C7">
              <w:rPr>
                <w:rFonts w:ascii="Arial" w:hAnsi="Arial" w:cs="Arial"/>
                <w:i/>
                <w:iCs/>
                <w:sz w:val="20"/>
                <w:szCs w:val="20"/>
              </w:rPr>
              <w:t xml:space="preserve">Vagoni jāpiegādā uz Daugavpils staciju no </w:t>
            </w:r>
            <w:r>
              <w:rPr>
                <w:rFonts w:ascii="Arial" w:hAnsi="Arial" w:cs="Arial"/>
                <w:i/>
                <w:iCs/>
                <w:sz w:val="20"/>
                <w:szCs w:val="20"/>
              </w:rPr>
              <w:t xml:space="preserve">Tehniskajā specifikācija norādītajām </w:t>
            </w:r>
            <w:r w:rsidRPr="006716C7">
              <w:rPr>
                <w:rFonts w:ascii="Arial" w:hAnsi="Arial" w:cs="Arial"/>
                <w:i/>
                <w:iCs/>
                <w:sz w:val="20"/>
                <w:szCs w:val="20"/>
              </w:rPr>
              <w:t>Ukrainas stacijām, nevis no Ukrainas-Polijas robežstacijas. Vagonu skaits  katrai piegādei tiks apspriests atsevišķi</w:t>
            </w:r>
            <w:r>
              <w:rPr>
                <w:rFonts w:ascii="Arial" w:hAnsi="Arial" w:cs="Arial"/>
                <w:i/>
                <w:iCs/>
                <w:sz w:val="20"/>
                <w:szCs w:val="20"/>
              </w:rPr>
              <w:t>,  bet vagonu pieņemšanas vieta nemainīsies, tā ir Tehniskā specifikācijā norādīta stacija.</w:t>
            </w:r>
            <w:bookmarkEnd w:id="0"/>
          </w:p>
          <w:p w14:paraId="5F38B623" w14:textId="77777777" w:rsidR="00173A42" w:rsidRPr="006716C7" w:rsidRDefault="00173A42" w:rsidP="0035264A">
            <w:pPr>
              <w:pStyle w:val="Default"/>
              <w:rPr>
                <w:rFonts w:ascii="Arial" w:hAnsi="Arial" w:cs="Arial"/>
                <w:i/>
                <w:iCs/>
                <w:sz w:val="20"/>
                <w:szCs w:val="20"/>
              </w:rPr>
            </w:pPr>
          </w:p>
        </w:tc>
      </w:tr>
      <w:tr w:rsidR="00173A42" w:rsidRPr="006716C7" w14:paraId="6A75ABC5" w14:textId="77777777" w:rsidTr="0035264A">
        <w:tc>
          <w:tcPr>
            <w:tcW w:w="561" w:type="dxa"/>
          </w:tcPr>
          <w:p w14:paraId="0CED2E78"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2.</w:t>
            </w:r>
          </w:p>
        </w:tc>
        <w:tc>
          <w:tcPr>
            <w:tcW w:w="4684" w:type="dxa"/>
          </w:tcPr>
          <w:p w14:paraId="021C58EF" w14:textId="77777777" w:rsidR="00173A42" w:rsidRPr="006716C7" w:rsidRDefault="00173A42" w:rsidP="0035264A">
            <w:pPr>
              <w:pStyle w:val="Default"/>
              <w:rPr>
                <w:rFonts w:ascii="Arial" w:hAnsi="Arial" w:cs="Arial"/>
                <w:sz w:val="20"/>
                <w:szCs w:val="20"/>
              </w:rPr>
            </w:pPr>
            <w:r w:rsidRPr="006716C7">
              <w:rPr>
                <w:rFonts w:ascii="Arial" w:hAnsi="Arial" w:cs="Arial"/>
                <w:sz w:val="20"/>
                <w:szCs w:val="20"/>
              </w:rPr>
              <w:t>Do we have possibility not take part in the transportation of the 1 wagon from MLD?</w:t>
            </w:r>
          </w:p>
          <w:p w14:paraId="148C8A2A" w14:textId="77777777" w:rsidR="00173A42" w:rsidRPr="006716C7" w:rsidRDefault="00173A42" w:rsidP="0035264A">
            <w:pPr>
              <w:pStyle w:val="Default"/>
              <w:rPr>
                <w:rFonts w:ascii="Arial" w:hAnsi="Arial" w:cs="Arial"/>
                <w:sz w:val="20"/>
                <w:szCs w:val="20"/>
              </w:rPr>
            </w:pPr>
          </w:p>
          <w:p w14:paraId="6E9D2FB8" w14:textId="77777777" w:rsidR="00173A42" w:rsidRPr="006716C7" w:rsidRDefault="00173A42" w:rsidP="0035264A">
            <w:pPr>
              <w:pStyle w:val="Default"/>
              <w:rPr>
                <w:rFonts w:ascii="Arial" w:hAnsi="Arial" w:cs="Arial"/>
                <w:i/>
                <w:iCs/>
                <w:sz w:val="20"/>
                <w:szCs w:val="20"/>
              </w:rPr>
            </w:pPr>
          </w:p>
          <w:p w14:paraId="1F3C9B1C" w14:textId="77777777" w:rsidR="00173A42" w:rsidRPr="006716C7" w:rsidRDefault="00173A42" w:rsidP="0035264A">
            <w:pPr>
              <w:pStyle w:val="Default"/>
              <w:rPr>
                <w:rFonts w:ascii="Arial" w:hAnsi="Arial" w:cs="Arial"/>
                <w:i/>
                <w:iCs/>
                <w:sz w:val="20"/>
                <w:szCs w:val="20"/>
              </w:rPr>
            </w:pPr>
            <w:r w:rsidRPr="006716C7">
              <w:rPr>
                <w:rFonts w:ascii="Arial" w:hAnsi="Arial" w:cs="Arial"/>
                <w:i/>
                <w:iCs/>
                <w:sz w:val="20"/>
                <w:szCs w:val="20"/>
              </w:rPr>
              <w:t>Vai mums ir iespēja nepiedalīties 1 vagona transportēšanā no Moldovas?</w:t>
            </w:r>
          </w:p>
          <w:p w14:paraId="73173EFC" w14:textId="77777777" w:rsidR="00173A42" w:rsidRPr="006716C7" w:rsidRDefault="00173A42" w:rsidP="0035264A">
            <w:pPr>
              <w:pStyle w:val="Default"/>
              <w:rPr>
                <w:rFonts w:ascii="Arial" w:hAnsi="Arial" w:cs="Arial"/>
                <w:sz w:val="20"/>
                <w:szCs w:val="20"/>
              </w:rPr>
            </w:pPr>
          </w:p>
        </w:tc>
        <w:tc>
          <w:tcPr>
            <w:tcW w:w="4098" w:type="dxa"/>
          </w:tcPr>
          <w:p w14:paraId="5DD84421" w14:textId="77777777" w:rsidR="00173A42" w:rsidRPr="006716C7" w:rsidRDefault="00173A42" w:rsidP="0035264A">
            <w:pPr>
              <w:pStyle w:val="Default"/>
              <w:rPr>
                <w:rFonts w:ascii="Arial" w:hAnsi="Arial" w:cs="Arial"/>
                <w:sz w:val="20"/>
                <w:szCs w:val="20"/>
              </w:rPr>
            </w:pPr>
            <w:r w:rsidRPr="006716C7">
              <w:rPr>
                <w:rFonts w:ascii="Arial" w:hAnsi="Arial" w:cs="Arial"/>
                <w:sz w:val="20"/>
                <w:szCs w:val="20"/>
              </w:rPr>
              <w:t>Yes, the tenderer can submit a bid only for part 1 of the procurement subject (delivery of wagons from Ukraine)</w:t>
            </w:r>
          </w:p>
          <w:p w14:paraId="4CBA861F" w14:textId="77777777" w:rsidR="00173A42" w:rsidRPr="006716C7" w:rsidRDefault="00173A42" w:rsidP="0035264A">
            <w:pPr>
              <w:pStyle w:val="Default"/>
              <w:rPr>
                <w:rFonts w:ascii="Arial" w:hAnsi="Arial" w:cs="Arial"/>
                <w:sz w:val="20"/>
                <w:szCs w:val="20"/>
              </w:rPr>
            </w:pPr>
          </w:p>
          <w:p w14:paraId="2AB82ED3" w14:textId="77777777" w:rsidR="00173A42" w:rsidRDefault="00173A42" w:rsidP="0035264A">
            <w:pPr>
              <w:pStyle w:val="Default"/>
              <w:rPr>
                <w:rFonts w:ascii="Arial" w:hAnsi="Arial" w:cs="Arial"/>
                <w:i/>
                <w:iCs/>
                <w:sz w:val="20"/>
                <w:szCs w:val="20"/>
              </w:rPr>
            </w:pPr>
            <w:r w:rsidRPr="006716C7">
              <w:rPr>
                <w:rFonts w:ascii="Arial" w:hAnsi="Arial" w:cs="Arial"/>
                <w:i/>
                <w:iCs/>
                <w:sz w:val="20"/>
                <w:szCs w:val="20"/>
              </w:rPr>
              <w:t>Jā, pretendents var iesniegt piedāvājumu tikai iepirkuma priekšmeta 1.daļā (vagonu piegāde no Ukrainas)</w:t>
            </w:r>
          </w:p>
          <w:p w14:paraId="76E92D24" w14:textId="77777777" w:rsidR="00173A42" w:rsidRPr="006716C7" w:rsidRDefault="00173A42" w:rsidP="0035264A">
            <w:pPr>
              <w:pStyle w:val="Default"/>
              <w:rPr>
                <w:rFonts w:ascii="Arial" w:hAnsi="Arial" w:cs="Arial"/>
                <w:i/>
                <w:iCs/>
                <w:sz w:val="20"/>
                <w:szCs w:val="20"/>
              </w:rPr>
            </w:pPr>
          </w:p>
        </w:tc>
      </w:tr>
      <w:tr w:rsidR="00173A42" w:rsidRPr="006716C7" w14:paraId="6AC1CDD9" w14:textId="77777777" w:rsidTr="0035264A">
        <w:tc>
          <w:tcPr>
            <w:tcW w:w="561" w:type="dxa"/>
          </w:tcPr>
          <w:p w14:paraId="3F4BA1C6"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 xml:space="preserve">3. </w:t>
            </w:r>
          </w:p>
        </w:tc>
        <w:tc>
          <w:tcPr>
            <w:tcW w:w="4684" w:type="dxa"/>
          </w:tcPr>
          <w:p w14:paraId="5389F069" w14:textId="77777777" w:rsidR="00173A42" w:rsidRPr="006716C7" w:rsidRDefault="00173A42" w:rsidP="0035264A">
            <w:pPr>
              <w:pStyle w:val="Default"/>
              <w:rPr>
                <w:rFonts w:ascii="Arial" w:hAnsi="Arial" w:cs="Arial"/>
                <w:sz w:val="20"/>
                <w:szCs w:val="20"/>
              </w:rPr>
            </w:pPr>
            <w:r w:rsidRPr="006716C7">
              <w:rPr>
                <w:rFonts w:ascii="Arial" w:hAnsi="Arial" w:cs="Arial"/>
                <w:sz w:val="20"/>
                <w:szCs w:val="20"/>
              </w:rPr>
              <w:t>Is it possible to increase to 100% prepayment (prepayment equal to 100% of the cost of services) ?</w:t>
            </w:r>
          </w:p>
          <w:p w14:paraId="6DD8D0EC" w14:textId="77777777" w:rsidR="00173A42" w:rsidRPr="006716C7" w:rsidRDefault="00173A42" w:rsidP="0035264A">
            <w:pPr>
              <w:pStyle w:val="Default"/>
              <w:rPr>
                <w:rFonts w:ascii="Arial" w:hAnsi="Arial" w:cs="Arial"/>
                <w:sz w:val="20"/>
                <w:szCs w:val="20"/>
              </w:rPr>
            </w:pPr>
          </w:p>
          <w:p w14:paraId="31D3D357" w14:textId="77777777" w:rsidR="00173A42" w:rsidRPr="00173A42" w:rsidRDefault="00173A42" w:rsidP="0035264A">
            <w:pPr>
              <w:pStyle w:val="Default"/>
              <w:rPr>
                <w:rFonts w:ascii="Arial" w:hAnsi="Arial" w:cs="Arial"/>
                <w:i/>
                <w:iCs/>
                <w:sz w:val="20"/>
                <w:szCs w:val="20"/>
              </w:rPr>
            </w:pPr>
            <w:r w:rsidRPr="00173A42">
              <w:rPr>
                <w:rFonts w:ascii="Arial" w:hAnsi="Arial" w:cs="Arial"/>
                <w:i/>
                <w:iCs/>
                <w:sz w:val="20"/>
                <w:szCs w:val="20"/>
              </w:rPr>
              <w:t>Vai ir iespējams palielināt priekšapmaksu līdz 100% (priekšapmaksa būtu 100% no pakalpojumu izmaksām)?</w:t>
            </w:r>
          </w:p>
          <w:p w14:paraId="265F6FC6" w14:textId="77777777" w:rsidR="00173A42" w:rsidRPr="006716C7" w:rsidRDefault="00173A42" w:rsidP="0035264A">
            <w:pPr>
              <w:pStyle w:val="Default"/>
              <w:rPr>
                <w:rFonts w:ascii="Arial" w:hAnsi="Arial" w:cs="Arial"/>
                <w:sz w:val="20"/>
                <w:szCs w:val="20"/>
              </w:rPr>
            </w:pPr>
          </w:p>
        </w:tc>
        <w:tc>
          <w:tcPr>
            <w:tcW w:w="4098" w:type="dxa"/>
          </w:tcPr>
          <w:p w14:paraId="364FB720" w14:textId="77777777" w:rsidR="00173A42" w:rsidRPr="00173A42" w:rsidRDefault="00173A42" w:rsidP="0035264A">
            <w:pPr>
              <w:pStyle w:val="Default"/>
              <w:rPr>
                <w:rFonts w:ascii="Arial" w:hAnsi="Arial" w:cs="Arial"/>
                <w:sz w:val="20"/>
                <w:szCs w:val="20"/>
              </w:rPr>
            </w:pPr>
            <w:r w:rsidRPr="00173A42">
              <w:rPr>
                <w:rFonts w:ascii="Arial" w:hAnsi="Arial" w:cs="Arial"/>
                <w:sz w:val="20"/>
                <w:szCs w:val="20"/>
              </w:rPr>
              <w:t>No, the prepayment will not exceed 20% of the service fee.</w:t>
            </w:r>
          </w:p>
          <w:p w14:paraId="2B31294F" w14:textId="77777777" w:rsidR="00173A42" w:rsidRPr="006716C7" w:rsidRDefault="00173A42" w:rsidP="0035264A">
            <w:pPr>
              <w:pStyle w:val="Default"/>
              <w:rPr>
                <w:rFonts w:ascii="Arial" w:hAnsi="Arial" w:cs="Arial"/>
                <w:sz w:val="20"/>
                <w:szCs w:val="20"/>
              </w:rPr>
            </w:pPr>
          </w:p>
          <w:p w14:paraId="180A77A5" w14:textId="77777777" w:rsidR="00173A42" w:rsidRPr="00173A42" w:rsidRDefault="00173A42" w:rsidP="0035264A">
            <w:pPr>
              <w:pStyle w:val="Default"/>
              <w:rPr>
                <w:rFonts w:ascii="Arial" w:hAnsi="Arial" w:cs="Arial"/>
                <w:i/>
                <w:iCs/>
                <w:sz w:val="20"/>
                <w:szCs w:val="20"/>
              </w:rPr>
            </w:pPr>
          </w:p>
          <w:p w14:paraId="649CB467" w14:textId="77777777" w:rsidR="00173A42" w:rsidRPr="006716C7" w:rsidRDefault="00173A42" w:rsidP="0035264A">
            <w:pPr>
              <w:pStyle w:val="Default"/>
              <w:rPr>
                <w:rFonts w:ascii="Arial" w:hAnsi="Arial" w:cs="Arial"/>
                <w:b/>
                <w:bCs/>
                <w:sz w:val="20"/>
                <w:szCs w:val="20"/>
              </w:rPr>
            </w:pPr>
            <w:r w:rsidRPr="00173A42">
              <w:rPr>
                <w:rFonts w:ascii="Arial" w:hAnsi="Arial" w:cs="Arial"/>
                <w:i/>
                <w:iCs/>
                <w:sz w:val="20"/>
                <w:szCs w:val="20"/>
              </w:rPr>
              <w:t>Nē, priekšapmaksa nepārsniegs 20% no pakalpojuma maksas.</w:t>
            </w:r>
          </w:p>
        </w:tc>
      </w:tr>
      <w:tr w:rsidR="00173A42" w:rsidRPr="006716C7" w14:paraId="0424CAD8" w14:textId="77777777" w:rsidTr="0035264A">
        <w:tc>
          <w:tcPr>
            <w:tcW w:w="561" w:type="dxa"/>
          </w:tcPr>
          <w:p w14:paraId="2802F665" w14:textId="77777777" w:rsidR="00173A42" w:rsidRPr="006716C7" w:rsidRDefault="00173A42" w:rsidP="0035264A">
            <w:pPr>
              <w:pStyle w:val="Default"/>
              <w:jc w:val="center"/>
              <w:rPr>
                <w:rFonts w:ascii="Arial" w:hAnsi="Arial" w:cs="Arial"/>
                <w:b/>
                <w:bCs/>
                <w:sz w:val="20"/>
                <w:szCs w:val="20"/>
              </w:rPr>
            </w:pPr>
            <w:r w:rsidRPr="006716C7">
              <w:rPr>
                <w:rFonts w:ascii="Arial" w:hAnsi="Arial" w:cs="Arial"/>
                <w:b/>
                <w:bCs/>
                <w:sz w:val="20"/>
                <w:szCs w:val="20"/>
              </w:rPr>
              <w:t>4.</w:t>
            </w:r>
          </w:p>
        </w:tc>
        <w:tc>
          <w:tcPr>
            <w:tcW w:w="4684" w:type="dxa"/>
          </w:tcPr>
          <w:p w14:paraId="14B33E23" w14:textId="77777777" w:rsidR="00173A42" w:rsidRPr="006716C7" w:rsidRDefault="00173A42" w:rsidP="0035264A">
            <w:pPr>
              <w:pStyle w:val="Default"/>
              <w:tabs>
                <w:tab w:val="left" w:pos="1875"/>
              </w:tabs>
              <w:jc w:val="both"/>
              <w:rPr>
                <w:rFonts w:ascii="Arial" w:hAnsi="Arial" w:cs="Arial"/>
                <w:sz w:val="20"/>
                <w:szCs w:val="20"/>
              </w:rPr>
            </w:pPr>
            <w:r w:rsidRPr="006716C7">
              <w:rPr>
                <w:rFonts w:ascii="Arial" w:hAnsi="Arial" w:cs="Arial"/>
                <w:sz w:val="20"/>
                <w:szCs w:val="20"/>
              </w:rPr>
              <w:t>You don't mind if will add time for transportation approval oversized rolling stock (1T gauge) via Poland with gauge-changing operations on 1435 mm (45+ 2-3 weeks) ?</w:t>
            </w:r>
          </w:p>
          <w:p w14:paraId="3B637618" w14:textId="77777777" w:rsidR="00173A42" w:rsidRPr="006716C7" w:rsidRDefault="00173A42" w:rsidP="0035264A">
            <w:pPr>
              <w:pStyle w:val="Default"/>
              <w:tabs>
                <w:tab w:val="left" w:pos="1875"/>
              </w:tabs>
              <w:rPr>
                <w:rFonts w:ascii="Arial" w:hAnsi="Arial" w:cs="Arial"/>
                <w:b/>
                <w:bCs/>
                <w:sz w:val="20"/>
                <w:szCs w:val="20"/>
              </w:rPr>
            </w:pPr>
          </w:p>
          <w:p w14:paraId="71B64517" w14:textId="77777777" w:rsidR="00173A42" w:rsidRPr="006716C7" w:rsidRDefault="00173A42" w:rsidP="0035264A">
            <w:pPr>
              <w:pStyle w:val="Default"/>
              <w:tabs>
                <w:tab w:val="left" w:pos="1875"/>
              </w:tabs>
              <w:rPr>
                <w:rFonts w:ascii="Arial" w:hAnsi="Arial" w:cs="Arial"/>
                <w:i/>
                <w:iCs/>
                <w:sz w:val="20"/>
                <w:szCs w:val="20"/>
              </w:rPr>
            </w:pPr>
            <w:r w:rsidRPr="006716C7">
              <w:rPr>
                <w:rFonts w:ascii="Arial" w:hAnsi="Arial" w:cs="Arial"/>
                <w:i/>
                <w:iCs/>
                <w:sz w:val="20"/>
                <w:szCs w:val="20"/>
              </w:rPr>
              <w:t>Vai Jums nebūs iebildumu, ja tiks pievienots papildus laiks sliežu platuma maiņas procesiem 1435 mm platumā, lielgabarīta ritošā sastāva (1T sliežu platums) pārvadāšanai caur Poliju?</w:t>
            </w:r>
          </w:p>
          <w:p w14:paraId="78858368" w14:textId="77777777" w:rsidR="00173A42" w:rsidRPr="006716C7" w:rsidRDefault="00173A42" w:rsidP="0035264A">
            <w:pPr>
              <w:pStyle w:val="Default"/>
              <w:tabs>
                <w:tab w:val="left" w:pos="1875"/>
              </w:tabs>
              <w:rPr>
                <w:rFonts w:ascii="Arial" w:hAnsi="Arial" w:cs="Arial"/>
                <w:i/>
                <w:iCs/>
                <w:sz w:val="20"/>
                <w:szCs w:val="20"/>
              </w:rPr>
            </w:pPr>
            <w:r w:rsidRPr="006716C7">
              <w:rPr>
                <w:rFonts w:ascii="Arial" w:hAnsi="Arial" w:cs="Arial"/>
                <w:i/>
                <w:iCs/>
                <w:sz w:val="20"/>
                <w:szCs w:val="20"/>
              </w:rPr>
              <w:lastRenderedPageBreak/>
              <w:t>(45+ 2-3 nedēļas)?</w:t>
            </w:r>
          </w:p>
          <w:p w14:paraId="350F16F5" w14:textId="77777777" w:rsidR="00173A42" w:rsidRPr="006716C7" w:rsidRDefault="00173A42" w:rsidP="0035264A">
            <w:pPr>
              <w:pStyle w:val="Default"/>
              <w:tabs>
                <w:tab w:val="left" w:pos="1875"/>
              </w:tabs>
              <w:rPr>
                <w:rFonts w:ascii="Arial" w:hAnsi="Arial" w:cs="Arial"/>
                <w:b/>
                <w:bCs/>
                <w:sz w:val="20"/>
                <w:szCs w:val="20"/>
              </w:rPr>
            </w:pPr>
          </w:p>
          <w:p w14:paraId="1EF07751" w14:textId="77777777" w:rsidR="00173A42" w:rsidRPr="006716C7" w:rsidRDefault="00173A42" w:rsidP="0035264A">
            <w:pPr>
              <w:pStyle w:val="Default"/>
              <w:tabs>
                <w:tab w:val="left" w:pos="1875"/>
              </w:tabs>
              <w:rPr>
                <w:rFonts w:ascii="Arial" w:hAnsi="Arial" w:cs="Arial"/>
                <w:b/>
                <w:bCs/>
                <w:sz w:val="20"/>
                <w:szCs w:val="20"/>
              </w:rPr>
            </w:pPr>
          </w:p>
        </w:tc>
        <w:tc>
          <w:tcPr>
            <w:tcW w:w="4098" w:type="dxa"/>
          </w:tcPr>
          <w:p w14:paraId="0A1E2EC1" w14:textId="77777777" w:rsidR="00173A42" w:rsidRPr="00A60433" w:rsidRDefault="00173A42" w:rsidP="0035264A">
            <w:pPr>
              <w:pStyle w:val="Default"/>
              <w:rPr>
                <w:rFonts w:ascii="Arial" w:hAnsi="Arial" w:cs="Arial"/>
                <w:sz w:val="20"/>
                <w:szCs w:val="20"/>
              </w:rPr>
            </w:pPr>
            <w:r w:rsidRPr="00A60433">
              <w:rPr>
                <w:rFonts w:ascii="Arial" w:hAnsi="Arial" w:cs="Arial"/>
                <w:sz w:val="20"/>
                <w:szCs w:val="20"/>
              </w:rPr>
              <w:lastRenderedPageBreak/>
              <w:t>In accordance with Cause 2.3 of the</w:t>
            </w:r>
            <w:r w:rsidRPr="00A60433">
              <w:rPr>
                <w:rFonts w:ascii="Arial" w:eastAsia="Arial" w:hAnsi="Arial" w:cs="Arial"/>
                <w:sz w:val="20"/>
                <w:szCs w:val="20"/>
              </w:rPr>
              <w:t xml:space="preserve"> Regulations </w:t>
            </w:r>
            <w:r w:rsidRPr="00A60433">
              <w:rPr>
                <w:rFonts w:ascii="Arial" w:hAnsi="Arial" w:cs="Arial"/>
                <w:sz w:val="20"/>
                <w:szCs w:val="20"/>
              </w:rPr>
              <w:t xml:space="preserve"> the service performance period is 45 days and will not be extended.</w:t>
            </w:r>
          </w:p>
          <w:p w14:paraId="42F44ACD" w14:textId="77777777" w:rsidR="00173A42" w:rsidRPr="00A60433" w:rsidRDefault="00173A42" w:rsidP="0035264A">
            <w:pPr>
              <w:pStyle w:val="Default"/>
              <w:rPr>
                <w:rFonts w:ascii="Arial" w:hAnsi="Arial" w:cs="Arial"/>
                <w:sz w:val="20"/>
                <w:szCs w:val="20"/>
              </w:rPr>
            </w:pPr>
          </w:p>
          <w:p w14:paraId="11E9AB2E" w14:textId="77777777" w:rsidR="00173A42" w:rsidRPr="00A60433" w:rsidRDefault="00173A42" w:rsidP="0035264A">
            <w:pPr>
              <w:pStyle w:val="Default"/>
              <w:rPr>
                <w:rFonts w:ascii="Arial" w:hAnsi="Arial" w:cs="Arial"/>
                <w:i/>
                <w:iCs/>
                <w:sz w:val="20"/>
                <w:szCs w:val="20"/>
              </w:rPr>
            </w:pPr>
            <w:r w:rsidRPr="00A60433">
              <w:rPr>
                <w:rFonts w:ascii="Arial" w:hAnsi="Arial" w:cs="Arial"/>
                <w:i/>
                <w:iCs/>
                <w:sz w:val="20"/>
                <w:szCs w:val="20"/>
              </w:rPr>
              <w:t xml:space="preserve">Saskaņā ar Noteikumu 2.3. punktu, pakalpojuma izpildes termiņš ir 45 dienas un tas netiks pagarināts. </w:t>
            </w:r>
          </w:p>
          <w:p w14:paraId="4C58C25A" w14:textId="77777777" w:rsidR="00173A42" w:rsidRPr="006716C7" w:rsidRDefault="00173A42" w:rsidP="0035264A">
            <w:pPr>
              <w:pStyle w:val="Default"/>
              <w:rPr>
                <w:rFonts w:ascii="Arial" w:hAnsi="Arial" w:cs="Arial"/>
                <w:i/>
                <w:iCs/>
                <w:sz w:val="20"/>
                <w:szCs w:val="20"/>
              </w:rPr>
            </w:pPr>
          </w:p>
        </w:tc>
      </w:tr>
      <w:tr w:rsidR="00173A42" w:rsidRPr="006716C7" w14:paraId="3CF93C8E" w14:textId="77777777" w:rsidTr="0035264A">
        <w:tc>
          <w:tcPr>
            <w:tcW w:w="561" w:type="dxa"/>
          </w:tcPr>
          <w:p w14:paraId="12867346" w14:textId="77777777" w:rsidR="00173A42" w:rsidRPr="006716C7" w:rsidRDefault="00173A42" w:rsidP="0035264A">
            <w:pPr>
              <w:pStyle w:val="Default"/>
              <w:jc w:val="center"/>
              <w:rPr>
                <w:rFonts w:ascii="Arial" w:hAnsi="Arial" w:cs="Arial"/>
                <w:b/>
                <w:bCs/>
              </w:rPr>
            </w:pPr>
            <w:r w:rsidRPr="006716C7">
              <w:rPr>
                <w:rFonts w:ascii="Arial" w:hAnsi="Arial" w:cs="Arial"/>
                <w:b/>
                <w:bCs/>
              </w:rPr>
              <w:lastRenderedPageBreak/>
              <w:t xml:space="preserve">5. </w:t>
            </w:r>
          </w:p>
        </w:tc>
        <w:tc>
          <w:tcPr>
            <w:tcW w:w="4684" w:type="dxa"/>
          </w:tcPr>
          <w:p w14:paraId="4B00FDC0" w14:textId="77777777" w:rsidR="00173A42" w:rsidRPr="006716C7" w:rsidRDefault="00173A42" w:rsidP="0035264A">
            <w:pPr>
              <w:rPr>
                <w:rFonts w:ascii="Arial" w:eastAsia="Times New Roman" w:hAnsi="Arial" w:cs="Arial"/>
                <w:color w:val="000000"/>
                <w:sz w:val="20"/>
                <w:szCs w:val="20"/>
                <w:u w:val="single"/>
                <w:lang w:eastAsia="lv-LV"/>
              </w:rPr>
            </w:pPr>
            <w:r w:rsidRPr="006716C7">
              <w:rPr>
                <w:rFonts w:ascii="Arial" w:eastAsia="Times New Roman" w:hAnsi="Arial" w:cs="Arial"/>
                <w:color w:val="000000"/>
                <w:sz w:val="20"/>
                <w:szCs w:val="20"/>
                <w:u w:val="single"/>
                <w:lang w:eastAsia="lv-LV"/>
              </w:rPr>
              <w:t>Jautājums attiecas uz piedāvājuma nodrošinājumu.</w:t>
            </w:r>
          </w:p>
          <w:p w14:paraId="0829BD81" w14:textId="77777777" w:rsidR="00173A42" w:rsidRPr="006716C7" w:rsidRDefault="00173A42" w:rsidP="0035264A">
            <w:pPr>
              <w:pStyle w:val="Default"/>
              <w:rPr>
                <w:rFonts w:ascii="Arial" w:hAnsi="Arial" w:cs="Arial"/>
                <w:sz w:val="20"/>
                <w:szCs w:val="20"/>
              </w:rPr>
            </w:pPr>
            <w:r w:rsidRPr="006716C7">
              <w:rPr>
                <w:rFonts w:ascii="Arial" w:hAnsi="Arial" w:cs="Arial"/>
                <w:sz w:val="20"/>
                <w:szCs w:val="20"/>
              </w:rPr>
              <w:t>Please, be so kind to advise which documents will be provided from your side, (i was asked about this payment by my account department,</w:t>
            </w:r>
          </w:p>
          <w:p w14:paraId="4457C2F3" w14:textId="77777777" w:rsidR="00173A42" w:rsidRPr="006716C7" w:rsidRDefault="00173A42" w:rsidP="0035264A">
            <w:pPr>
              <w:pStyle w:val="Default"/>
              <w:rPr>
                <w:rFonts w:ascii="Arial" w:hAnsi="Arial" w:cs="Arial"/>
                <w:sz w:val="20"/>
                <w:szCs w:val="20"/>
              </w:rPr>
            </w:pPr>
            <w:r w:rsidRPr="006716C7">
              <w:rPr>
                <w:rFonts w:ascii="Arial" w:hAnsi="Arial" w:cs="Arial"/>
                <w:sz w:val="20"/>
                <w:szCs w:val="20"/>
              </w:rPr>
              <w:t>because it is required by Ukrainian law)</w:t>
            </w:r>
          </w:p>
          <w:p w14:paraId="75DEB78A" w14:textId="77777777" w:rsidR="00173A42" w:rsidRPr="006716C7" w:rsidRDefault="00173A42" w:rsidP="0035264A">
            <w:pPr>
              <w:pStyle w:val="Default"/>
              <w:rPr>
                <w:rFonts w:ascii="Arial" w:hAnsi="Arial" w:cs="Arial"/>
                <w:b/>
                <w:bCs/>
                <w:sz w:val="20"/>
                <w:szCs w:val="20"/>
              </w:rPr>
            </w:pPr>
          </w:p>
          <w:p w14:paraId="7C3419E6" w14:textId="77777777" w:rsidR="00173A42" w:rsidRPr="006716C7" w:rsidRDefault="00173A42" w:rsidP="0035264A">
            <w:pPr>
              <w:pStyle w:val="Default"/>
              <w:rPr>
                <w:rFonts w:ascii="Arial" w:hAnsi="Arial" w:cs="Arial"/>
                <w:i/>
                <w:iCs/>
                <w:sz w:val="20"/>
                <w:szCs w:val="20"/>
              </w:rPr>
            </w:pPr>
            <w:r w:rsidRPr="006716C7">
              <w:rPr>
                <w:rFonts w:ascii="Arial" w:hAnsi="Arial" w:cs="Arial"/>
                <w:i/>
                <w:iCs/>
                <w:sz w:val="20"/>
                <w:szCs w:val="20"/>
              </w:rPr>
              <w:t>Lūdzu, esiet tik laipni un norādiet, kādus dokumentus jūs iesniegsiet (mana grāmatvedības nodaļa man jautāja par šo maksājumu, jo to pieprasa Ukrainas likumdošana).</w:t>
            </w:r>
          </w:p>
          <w:p w14:paraId="75D274A1" w14:textId="77777777" w:rsidR="00173A42" w:rsidRPr="006716C7" w:rsidRDefault="00173A42" w:rsidP="0035264A">
            <w:pPr>
              <w:pStyle w:val="Default"/>
              <w:rPr>
                <w:rFonts w:ascii="Arial" w:hAnsi="Arial" w:cs="Arial"/>
                <w:i/>
                <w:iCs/>
                <w:sz w:val="20"/>
                <w:szCs w:val="20"/>
              </w:rPr>
            </w:pPr>
          </w:p>
        </w:tc>
        <w:tc>
          <w:tcPr>
            <w:tcW w:w="4098" w:type="dxa"/>
          </w:tcPr>
          <w:p w14:paraId="25D129DE" w14:textId="77777777" w:rsidR="00173A42" w:rsidRPr="006716C7" w:rsidRDefault="00173A42" w:rsidP="0035264A">
            <w:pPr>
              <w:pStyle w:val="Default"/>
              <w:jc w:val="center"/>
              <w:rPr>
                <w:rFonts w:ascii="Arial" w:hAnsi="Arial" w:cs="Arial"/>
                <w:i/>
                <w:iCs/>
                <w:sz w:val="20"/>
                <w:szCs w:val="20"/>
                <w:u w:val="single"/>
              </w:rPr>
            </w:pPr>
          </w:p>
          <w:p w14:paraId="0573F3DD" w14:textId="77777777" w:rsidR="00173A42" w:rsidRPr="006716C7" w:rsidRDefault="00173A42" w:rsidP="0035264A">
            <w:pPr>
              <w:rPr>
                <w:rFonts w:ascii="Arial" w:hAnsi="Arial" w:cs="Arial"/>
                <w:sz w:val="20"/>
                <w:szCs w:val="20"/>
                <w:lang w:eastAsia="lv-LV"/>
              </w:rPr>
            </w:pPr>
          </w:p>
          <w:p w14:paraId="4C5F1C5B" w14:textId="77777777" w:rsidR="00173A42" w:rsidRPr="006716C7" w:rsidRDefault="00173A42" w:rsidP="0035264A">
            <w:pPr>
              <w:rPr>
                <w:rFonts w:ascii="Arial" w:eastAsia="Times New Roman" w:hAnsi="Arial" w:cs="Arial"/>
                <w:i/>
                <w:iCs/>
                <w:color w:val="000000"/>
                <w:sz w:val="20"/>
                <w:szCs w:val="20"/>
                <w:u w:val="single"/>
                <w:lang w:eastAsia="lv-LV"/>
              </w:rPr>
            </w:pPr>
            <w:r w:rsidRPr="006716C7">
              <w:rPr>
                <w:rFonts w:ascii="Arial" w:hAnsi="Arial" w:cs="Arial"/>
                <w:sz w:val="20"/>
                <w:szCs w:val="20"/>
                <w:lang w:eastAsia="lv-LV"/>
              </w:rPr>
              <w:t>At your request, you will be provided with a prepayment invoice for the Bid security deposit for the procurement procedure.</w:t>
            </w:r>
          </w:p>
          <w:p w14:paraId="4A691937" w14:textId="77777777" w:rsidR="00173A42" w:rsidRPr="006716C7" w:rsidRDefault="00173A42" w:rsidP="0035264A">
            <w:pPr>
              <w:rPr>
                <w:rFonts w:ascii="Arial" w:hAnsi="Arial" w:cs="Arial"/>
                <w:i/>
                <w:iCs/>
                <w:sz w:val="20"/>
                <w:szCs w:val="20"/>
                <w:lang w:eastAsia="lv-LV"/>
              </w:rPr>
            </w:pPr>
            <w:r w:rsidRPr="006716C7">
              <w:rPr>
                <w:rFonts w:ascii="Arial" w:hAnsi="Arial" w:cs="Arial"/>
                <w:i/>
                <w:iCs/>
                <w:sz w:val="20"/>
                <w:szCs w:val="20"/>
                <w:lang w:eastAsia="lv-LV"/>
              </w:rPr>
              <w:t>Pēc Jūsu lūguma, Jums būs sagatavots priekšapmaksas rēķins par iepirkuma procedūras piedāvājuma nodrošinājuma iemaksu.</w:t>
            </w:r>
          </w:p>
        </w:tc>
      </w:tr>
      <w:tr w:rsidR="00173A42" w:rsidRPr="006716C7" w14:paraId="456ACFB3" w14:textId="77777777" w:rsidTr="002015C7">
        <w:trPr>
          <w:trHeight w:val="1766"/>
        </w:trPr>
        <w:tc>
          <w:tcPr>
            <w:tcW w:w="561" w:type="dxa"/>
          </w:tcPr>
          <w:p w14:paraId="4094EACE" w14:textId="77777777" w:rsidR="00173A42" w:rsidRPr="006716C7" w:rsidRDefault="00173A42" w:rsidP="0035264A">
            <w:pPr>
              <w:pStyle w:val="Default"/>
              <w:jc w:val="center"/>
              <w:rPr>
                <w:rFonts w:ascii="Arial" w:hAnsi="Arial" w:cs="Arial"/>
                <w:b/>
                <w:bCs/>
              </w:rPr>
            </w:pPr>
            <w:r w:rsidRPr="006716C7">
              <w:rPr>
                <w:rFonts w:ascii="Arial" w:hAnsi="Arial" w:cs="Arial"/>
                <w:b/>
                <w:bCs/>
              </w:rPr>
              <w:t xml:space="preserve">6. </w:t>
            </w:r>
          </w:p>
        </w:tc>
        <w:tc>
          <w:tcPr>
            <w:tcW w:w="4684" w:type="dxa"/>
          </w:tcPr>
          <w:p w14:paraId="2C00A4CC" w14:textId="77777777" w:rsidR="00173A42" w:rsidRPr="006716C7" w:rsidRDefault="00173A42" w:rsidP="0035264A">
            <w:pPr>
              <w:rPr>
                <w:rFonts w:ascii="Arial" w:eastAsia="Times New Roman" w:hAnsi="Arial" w:cs="Arial"/>
                <w:color w:val="000000"/>
                <w:sz w:val="20"/>
                <w:szCs w:val="20"/>
                <w:lang w:eastAsia="lv-LV"/>
              </w:rPr>
            </w:pPr>
            <w:r w:rsidRPr="006716C7">
              <w:rPr>
                <w:rFonts w:ascii="Arial" w:eastAsia="Times New Roman" w:hAnsi="Arial" w:cs="Arial"/>
                <w:color w:val="000000"/>
                <w:sz w:val="20"/>
                <w:szCs w:val="20"/>
                <w:lang w:eastAsia="lv-LV"/>
              </w:rPr>
              <w:t>Tender will be closed 25/03 at 23:00 , yes ?</w:t>
            </w:r>
          </w:p>
          <w:p w14:paraId="686B7A9E" w14:textId="77777777" w:rsidR="002015C7" w:rsidRDefault="002015C7" w:rsidP="0035264A">
            <w:pPr>
              <w:rPr>
                <w:rFonts w:ascii="Arial" w:eastAsia="Times New Roman" w:hAnsi="Arial" w:cs="Arial"/>
                <w:i/>
                <w:iCs/>
                <w:color w:val="000000"/>
                <w:sz w:val="20"/>
                <w:szCs w:val="20"/>
                <w:lang w:eastAsia="lv-LV"/>
              </w:rPr>
            </w:pPr>
          </w:p>
          <w:p w14:paraId="5D11828F" w14:textId="64196D73" w:rsidR="00173A42" w:rsidRPr="002015C7" w:rsidRDefault="00173A42" w:rsidP="0035264A">
            <w:pPr>
              <w:rPr>
                <w:rFonts w:ascii="Arial" w:eastAsia="Times New Roman" w:hAnsi="Arial" w:cs="Arial"/>
                <w:i/>
                <w:iCs/>
                <w:color w:val="000000"/>
                <w:sz w:val="20"/>
                <w:szCs w:val="20"/>
                <w:lang w:eastAsia="lv-LV"/>
              </w:rPr>
            </w:pPr>
            <w:r w:rsidRPr="006716C7">
              <w:rPr>
                <w:rFonts w:ascii="Arial" w:eastAsia="Times New Roman" w:hAnsi="Arial" w:cs="Arial"/>
                <w:i/>
                <w:iCs/>
                <w:color w:val="000000"/>
                <w:sz w:val="20"/>
                <w:szCs w:val="20"/>
                <w:lang w:eastAsia="lv-LV"/>
              </w:rPr>
              <w:t>Vai iepirkuma procedūras piedāvājumu iesniegšanas termiņš ir 25.03. 23:00.?</w:t>
            </w:r>
          </w:p>
        </w:tc>
        <w:tc>
          <w:tcPr>
            <w:tcW w:w="4098" w:type="dxa"/>
          </w:tcPr>
          <w:p w14:paraId="03CA85EA" w14:textId="77777777" w:rsidR="00173A42" w:rsidRPr="006716C7" w:rsidRDefault="00173A42" w:rsidP="0035264A">
            <w:pPr>
              <w:pStyle w:val="Default"/>
              <w:rPr>
                <w:rFonts w:ascii="Arial" w:hAnsi="Arial" w:cs="Arial"/>
                <w:sz w:val="20"/>
                <w:szCs w:val="20"/>
              </w:rPr>
            </w:pPr>
            <w:r w:rsidRPr="006716C7">
              <w:rPr>
                <w:rFonts w:ascii="Arial" w:hAnsi="Arial" w:cs="Arial"/>
                <w:sz w:val="20"/>
                <w:szCs w:val="20"/>
              </w:rPr>
              <w:t>The deadline for submitting bids was extended until 08.04.2026 at 23:00.</w:t>
            </w:r>
          </w:p>
          <w:p w14:paraId="0B800CF2" w14:textId="77777777" w:rsidR="00173A42" w:rsidRPr="006716C7" w:rsidRDefault="00173A42" w:rsidP="0035264A">
            <w:pPr>
              <w:pStyle w:val="Default"/>
              <w:rPr>
                <w:rFonts w:ascii="Arial" w:hAnsi="Arial" w:cs="Arial"/>
                <w:sz w:val="20"/>
                <w:szCs w:val="20"/>
              </w:rPr>
            </w:pPr>
          </w:p>
          <w:p w14:paraId="7CD70B41" w14:textId="77777777" w:rsidR="00173A42" w:rsidRDefault="00173A42" w:rsidP="0035264A">
            <w:pPr>
              <w:pStyle w:val="Default"/>
              <w:rPr>
                <w:rFonts w:ascii="Arial" w:hAnsi="Arial" w:cs="Arial"/>
                <w:i/>
                <w:iCs/>
                <w:sz w:val="20"/>
                <w:szCs w:val="20"/>
              </w:rPr>
            </w:pPr>
          </w:p>
          <w:p w14:paraId="4A7D5676" w14:textId="3D9AF5DE" w:rsidR="00173A42" w:rsidRPr="006716C7" w:rsidRDefault="00173A42" w:rsidP="0035264A">
            <w:pPr>
              <w:pStyle w:val="Default"/>
              <w:rPr>
                <w:rFonts w:ascii="Arial" w:hAnsi="Arial" w:cs="Arial"/>
                <w:i/>
                <w:iCs/>
                <w:sz w:val="20"/>
                <w:szCs w:val="20"/>
              </w:rPr>
            </w:pPr>
            <w:r w:rsidRPr="003F47E8">
              <w:rPr>
                <w:rFonts w:ascii="Arial" w:hAnsi="Arial" w:cs="Arial"/>
                <w:i/>
                <w:iCs/>
                <w:sz w:val="20"/>
                <w:szCs w:val="20"/>
              </w:rPr>
              <w:t>Piedāvājumu iesniegšanas termiņš tiek pagarināts līdz 08.04.2026. plkst. 23:00.</w:t>
            </w:r>
            <w:r w:rsidRPr="006716C7">
              <w:rPr>
                <w:rFonts w:ascii="Arial" w:hAnsi="Arial" w:cs="Arial"/>
                <w:i/>
                <w:iCs/>
                <w:sz w:val="20"/>
                <w:szCs w:val="20"/>
              </w:rPr>
              <w:t>.</w:t>
            </w:r>
          </w:p>
        </w:tc>
      </w:tr>
    </w:tbl>
    <w:p w14:paraId="2DAECFE8" w14:textId="77777777" w:rsidR="00173A42" w:rsidRPr="006716C7" w:rsidRDefault="00173A42" w:rsidP="00173A42">
      <w:pPr>
        <w:pStyle w:val="Default"/>
        <w:jc w:val="center"/>
        <w:rPr>
          <w:rFonts w:ascii="Arial" w:hAnsi="Arial" w:cs="Arial"/>
          <w:b/>
          <w:bCs/>
          <w:sz w:val="22"/>
          <w:szCs w:val="22"/>
        </w:rPr>
      </w:pPr>
    </w:p>
    <w:p w14:paraId="33E4F01C" w14:textId="77777777" w:rsidR="003F7CC6" w:rsidRPr="00097441" w:rsidRDefault="003F7CC6" w:rsidP="00097441">
      <w:pPr>
        <w:rPr>
          <w:rStyle w:val="SubtleEmphasis"/>
          <w:i w:val="0"/>
          <w:iCs w:val="0"/>
        </w:rPr>
      </w:pPr>
    </w:p>
    <w:sectPr w:rsidR="003F7CC6" w:rsidRPr="00097441"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D4"/>
    <w:rsid w:val="00057A83"/>
    <w:rsid w:val="000959D0"/>
    <w:rsid w:val="00097441"/>
    <w:rsid w:val="00173A42"/>
    <w:rsid w:val="002015C7"/>
    <w:rsid w:val="003F7CC6"/>
    <w:rsid w:val="006052A8"/>
    <w:rsid w:val="006C508D"/>
    <w:rsid w:val="00770F1C"/>
    <w:rsid w:val="00C2627C"/>
    <w:rsid w:val="00D4253B"/>
    <w:rsid w:val="00DB4AD4"/>
    <w:rsid w:val="00E2209A"/>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D95D"/>
  <w15:chartTrackingRefBased/>
  <w15:docId w15:val="{ABB1516C-40A8-40D9-8079-D39557B1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4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097441"/>
    <w:pPr>
      <w:keepNext/>
      <w:keepLines/>
      <w:spacing w:before="360" w:after="80" w:line="278" w:lineRule="auto"/>
      <w:outlineLvl w:val="0"/>
    </w:pPr>
    <w:rPr>
      <w:rFonts w:asciiTheme="majorHAnsi" w:eastAsiaTheme="majorEastAsia" w:hAnsiTheme="majorHAnsi" w:cstheme="majorBidi"/>
      <w:color w:val="D2002D" w:themeColor="accent2"/>
      <w:kern w:val="2"/>
      <w:sz w:val="40"/>
      <w:szCs w:val="40"/>
      <w14:ligatures w14:val="standardContextual"/>
    </w:rPr>
  </w:style>
  <w:style w:type="paragraph" w:styleId="Heading2">
    <w:name w:val="heading 2"/>
    <w:basedOn w:val="Normal"/>
    <w:next w:val="Normal"/>
    <w:link w:val="Heading2Char"/>
    <w:uiPriority w:val="9"/>
    <w:semiHidden/>
    <w:unhideWhenUsed/>
    <w:qFormat/>
    <w:rsid w:val="00097441"/>
    <w:pPr>
      <w:keepNext/>
      <w:keepLines/>
      <w:spacing w:before="160" w:after="80" w:line="278" w:lineRule="auto"/>
      <w:outlineLvl w:val="1"/>
    </w:pPr>
    <w:rPr>
      <w:rFonts w:asciiTheme="majorHAnsi" w:eastAsiaTheme="majorEastAsia" w:hAnsiTheme="majorHAnsi" w:cstheme="majorBidi"/>
      <w:color w:val="2F3239" w:themeColor="text1"/>
      <w:kern w:val="2"/>
      <w:sz w:val="32"/>
      <w:szCs w:val="32"/>
      <w14:ligatures w14:val="standardContextual"/>
    </w:rPr>
  </w:style>
  <w:style w:type="paragraph" w:styleId="Heading3">
    <w:name w:val="heading 3"/>
    <w:basedOn w:val="Normal"/>
    <w:next w:val="Normal"/>
    <w:link w:val="Heading3Char"/>
    <w:uiPriority w:val="9"/>
    <w:semiHidden/>
    <w:unhideWhenUsed/>
    <w:qFormat/>
    <w:rsid w:val="00097441"/>
    <w:pPr>
      <w:keepNext/>
      <w:keepLines/>
      <w:spacing w:before="160" w:after="80" w:line="278" w:lineRule="auto"/>
      <w:outlineLvl w:val="2"/>
    </w:pPr>
    <w:rPr>
      <w:rFonts w:asciiTheme="minorHAnsi" w:eastAsiaTheme="majorEastAsia" w:hAnsiTheme="minorHAnsi" w:cstheme="majorBidi"/>
      <w:color w:val="B9B29E"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7441"/>
    <w:pPr>
      <w:keepNext/>
      <w:keepLines/>
      <w:spacing w:before="80" w:after="40" w:line="278" w:lineRule="auto"/>
      <w:outlineLvl w:val="3"/>
    </w:pPr>
    <w:rPr>
      <w:rFonts w:asciiTheme="minorHAnsi" w:eastAsiaTheme="majorEastAsia" w:hAnsiTheme="minorHAnsi" w:cstheme="majorBidi"/>
      <w:i/>
      <w:iCs/>
      <w:color w:val="B9B29E"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97441"/>
    <w:pPr>
      <w:keepNext/>
      <w:keepLines/>
      <w:spacing w:before="80" w:after="40" w:line="278" w:lineRule="auto"/>
      <w:outlineLvl w:val="4"/>
    </w:pPr>
    <w:rPr>
      <w:rFonts w:asciiTheme="minorHAnsi" w:eastAsiaTheme="majorEastAsia" w:hAnsiTheme="minorHAnsi" w:cstheme="majorBidi"/>
      <w:color w:val="B9B29E"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97441"/>
    <w:pPr>
      <w:keepNext/>
      <w:keepLines/>
      <w:spacing w:before="40" w:after="0" w:line="278" w:lineRule="auto"/>
      <w:outlineLvl w:val="5"/>
    </w:pPr>
    <w:rPr>
      <w:rFonts w:asciiTheme="minorHAnsi" w:eastAsiaTheme="majorEastAsia" w:hAnsiTheme="minorHAnsi" w:cstheme="majorBidi"/>
      <w:i/>
      <w:iCs/>
      <w:color w:val="6F7686"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97441"/>
    <w:pPr>
      <w:keepNext/>
      <w:keepLines/>
      <w:spacing w:before="40" w:after="0" w:line="278" w:lineRule="auto"/>
      <w:outlineLvl w:val="6"/>
    </w:pPr>
    <w:rPr>
      <w:rFonts w:asciiTheme="minorHAnsi" w:eastAsiaTheme="majorEastAsia" w:hAnsiTheme="minorHAnsi" w:cstheme="majorBidi"/>
      <w:color w:val="6F7686"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97441"/>
    <w:pPr>
      <w:keepNext/>
      <w:keepLines/>
      <w:spacing w:after="0" w:line="278" w:lineRule="auto"/>
      <w:outlineLvl w:val="7"/>
    </w:pPr>
    <w:rPr>
      <w:rFonts w:asciiTheme="minorHAnsi" w:eastAsiaTheme="majorEastAsia" w:hAnsiTheme="minorHAnsi" w:cstheme="majorBidi"/>
      <w:i/>
      <w:iCs/>
      <w:color w:val="4B4F5A"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97441"/>
    <w:pPr>
      <w:keepNext/>
      <w:keepLines/>
      <w:spacing w:after="0" w:line="278" w:lineRule="auto"/>
      <w:outlineLvl w:val="8"/>
    </w:pPr>
    <w:rPr>
      <w:rFonts w:asciiTheme="minorHAnsi" w:eastAsiaTheme="majorEastAsia" w:hAnsiTheme="minorHAnsi" w:cstheme="majorBidi"/>
      <w:color w:val="4B4F5A"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14:ligatures w14:val="standardContextual"/>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spacing w:after="160" w:line="278" w:lineRule="auto"/>
    </w:pPr>
    <w:rPr>
      <w:rFonts w:asciiTheme="minorHAnsi" w:eastAsiaTheme="majorEastAsia" w:hAnsiTheme="minorHAnsi" w:cstheme="majorBidi"/>
      <w:color w:val="474955" w:themeColor="text2"/>
      <w:spacing w:val="15"/>
      <w:kern w:val="2"/>
      <w:sz w:val="28"/>
      <w:szCs w:val="28"/>
      <w14:ligatures w14:val="standardContextual"/>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after="160" w:line="278" w:lineRule="auto"/>
      <w:jc w:val="center"/>
    </w:pPr>
    <w:rPr>
      <w:rFonts w:asciiTheme="minorHAnsi" w:eastAsiaTheme="minorHAnsi" w:hAnsiTheme="minorHAnsi" w:cstheme="minorBidi"/>
      <w:i/>
      <w:iCs/>
      <w:color w:val="5D6270" w:themeColor="text1" w:themeTint="BF"/>
      <w:kern w:val="2"/>
      <w:sz w:val="24"/>
      <w:szCs w:val="24"/>
      <w14:ligatures w14:val="standardContextual"/>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line="278" w:lineRule="auto"/>
      <w:ind w:left="864" w:right="864"/>
      <w:jc w:val="center"/>
    </w:pPr>
    <w:rPr>
      <w:rFonts w:asciiTheme="minorHAnsi" w:eastAsiaTheme="minorHAnsi" w:hAnsiTheme="minorHAnsi" w:cstheme="minorBidi"/>
      <w:i/>
      <w:iCs/>
      <w:color w:val="474955" w:themeColor="text2"/>
      <w:kern w:val="2"/>
      <w:sz w:val="24"/>
      <w:szCs w:val="24"/>
      <w14:ligatures w14:val="standardContextual"/>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customStyle="1" w:styleId="Default">
    <w:name w:val="Default"/>
    <w:rsid w:val="00173A42"/>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table" w:styleId="TableGrid">
    <w:name w:val="Table Grid"/>
    <w:basedOn w:val="TableNormal"/>
    <w:uiPriority w:val="59"/>
    <w:rsid w:val="00173A4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2294</Words>
  <Characters>1309</Characters>
  <Application>Microsoft Office Word</Application>
  <DocSecurity>0</DocSecurity>
  <Lines>10</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Stendzeniece</dc:creator>
  <cp:keywords/>
  <dc:description/>
  <cp:lastModifiedBy>Inese Stendzeniece</cp:lastModifiedBy>
  <cp:revision>3</cp:revision>
  <dcterms:created xsi:type="dcterms:W3CDTF">2026-03-26T06:19:00Z</dcterms:created>
  <dcterms:modified xsi:type="dcterms:W3CDTF">2026-03-26T06:20:00Z</dcterms:modified>
</cp:coreProperties>
</file>