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403C" w:rsidRPr="00FC29CF" w:rsidRDefault="009D403C" w:rsidP="009D403C">
      <w:pPr>
        <w:tabs>
          <w:tab w:val="left" w:pos="3760"/>
        </w:tabs>
        <w:ind w:left="-284" w:right="282" w:firstLine="4395"/>
        <w:jc w:val="both"/>
        <w:rPr>
          <w:rFonts w:ascii="Times New Roman" w:hAnsi="Times New Roman" w:cs="Times New Roman"/>
          <w:i/>
          <w:sz w:val="24"/>
          <w:szCs w:val="24"/>
        </w:rPr>
      </w:pPr>
    </w:p>
    <w:p w:rsidR="009D403C" w:rsidRPr="004E7266"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APSTIPRINĀTS:</w:t>
      </w:r>
    </w:p>
    <w:p w:rsidR="009D403C" w:rsidRPr="00EF78AF" w:rsidRDefault="009D403C" w:rsidP="009D403C">
      <w:pPr>
        <w:tabs>
          <w:tab w:val="left" w:pos="3760"/>
        </w:tabs>
        <w:ind w:left="-284" w:right="282" w:firstLine="4395"/>
        <w:jc w:val="right"/>
        <w:rPr>
          <w:rFonts w:ascii="Times New Roman" w:hAnsi="Times New Roman" w:cs="Times New Roman"/>
          <w:i/>
          <w:sz w:val="24"/>
          <w:szCs w:val="24"/>
        </w:rPr>
      </w:pPr>
      <w:r w:rsidRPr="004E7266">
        <w:rPr>
          <w:rFonts w:ascii="Times New Roman" w:hAnsi="Times New Roman" w:cs="Times New Roman"/>
          <w:i/>
          <w:sz w:val="24"/>
          <w:szCs w:val="24"/>
        </w:rPr>
        <w:t xml:space="preserve">ar iepirkuma komisijas </w:t>
      </w:r>
      <w:r w:rsidRPr="004E7266">
        <w:rPr>
          <w:rFonts w:ascii="Times New Roman" w:eastAsia="Arial Unicode MS" w:hAnsi="Times New Roman" w:cs="Times New Roman"/>
          <w:i/>
          <w:sz w:val="24"/>
        </w:rPr>
        <w:t xml:space="preserve">2019.gada </w:t>
      </w:r>
      <w:r w:rsidR="00EF78AF">
        <w:rPr>
          <w:rFonts w:ascii="Times New Roman" w:eastAsia="Arial Unicode MS" w:hAnsi="Times New Roman" w:cs="Times New Roman"/>
          <w:i/>
          <w:sz w:val="24"/>
        </w:rPr>
        <w:t>29</w:t>
      </w:r>
      <w:r w:rsidR="004E7266" w:rsidRPr="00EF78AF">
        <w:rPr>
          <w:rFonts w:ascii="Times New Roman" w:eastAsia="Arial Unicode MS" w:hAnsi="Times New Roman" w:cs="Times New Roman"/>
          <w:i/>
          <w:sz w:val="24"/>
        </w:rPr>
        <w:t>.</w:t>
      </w:r>
      <w:r w:rsidR="00EF78AF">
        <w:rPr>
          <w:rFonts w:ascii="Times New Roman" w:eastAsia="Arial Unicode MS" w:hAnsi="Times New Roman" w:cs="Times New Roman"/>
          <w:i/>
          <w:sz w:val="24"/>
        </w:rPr>
        <w:t>jūlij</w:t>
      </w:r>
      <w:r w:rsidR="004E7266" w:rsidRPr="00EF78AF">
        <w:rPr>
          <w:rFonts w:ascii="Times New Roman" w:eastAsia="Arial Unicode MS" w:hAnsi="Times New Roman" w:cs="Times New Roman"/>
          <w:i/>
          <w:sz w:val="24"/>
        </w:rPr>
        <w:t>a</w:t>
      </w:r>
      <w:r w:rsidRPr="00EF78AF">
        <w:rPr>
          <w:rFonts w:ascii="Times New Roman" w:eastAsia="Arial Unicode MS" w:hAnsi="Times New Roman" w:cs="Times New Roman"/>
          <w:i/>
          <w:sz w:val="24"/>
        </w:rPr>
        <w:t xml:space="preserve"> </w:t>
      </w:r>
    </w:p>
    <w:p w:rsidR="009D403C" w:rsidRPr="00EF78AF" w:rsidRDefault="009D403C" w:rsidP="009D403C">
      <w:pPr>
        <w:tabs>
          <w:tab w:val="left" w:pos="3760"/>
        </w:tabs>
        <w:ind w:left="-284" w:right="282" w:firstLine="4395"/>
        <w:jc w:val="right"/>
        <w:rPr>
          <w:rFonts w:ascii="Times New Roman" w:hAnsi="Times New Roman" w:cs="Times New Roman"/>
          <w:i/>
          <w:sz w:val="24"/>
          <w:szCs w:val="24"/>
        </w:rPr>
      </w:pPr>
      <w:r w:rsidRPr="00EF78AF">
        <w:rPr>
          <w:rFonts w:ascii="Times New Roman" w:eastAsia="Arial Unicode MS" w:hAnsi="Times New Roman" w:cs="Times New Roman"/>
          <w:i/>
          <w:sz w:val="24"/>
        </w:rPr>
        <w:t>sēdes protokolu Nr.</w:t>
      </w:r>
      <w:r w:rsidR="00C03F46" w:rsidRPr="00EF78AF">
        <w:rPr>
          <w:rFonts w:ascii="Times New Roman" w:eastAsia="Arial Unicode MS" w:hAnsi="Times New Roman" w:cs="Times New Roman"/>
          <w:i/>
          <w:sz w:val="24"/>
        </w:rPr>
        <w:t>2</w:t>
      </w:r>
    </w:p>
    <w:p w:rsidR="009D403C" w:rsidRPr="00FC29CF" w:rsidRDefault="009D403C" w:rsidP="009D403C">
      <w:pPr>
        <w:tabs>
          <w:tab w:val="left" w:pos="3760"/>
        </w:tabs>
        <w:ind w:right="282"/>
        <w:jc w:val="both"/>
        <w:rPr>
          <w:rFonts w:ascii="Times New Roman" w:hAnsi="Times New Roman" w:cs="Times New Roman"/>
          <w:b/>
          <w:sz w:val="24"/>
          <w:szCs w:val="24"/>
        </w:rPr>
      </w:pPr>
    </w:p>
    <w:p w:rsidR="009D403C" w:rsidRPr="00FC29CF" w:rsidRDefault="009D403C" w:rsidP="009D403C">
      <w:pPr>
        <w:tabs>
          <w:tab w:val="left" w:pos="3760"/>
        </w:tabs>
        <w:ind w:left="-284" w:right="282"/>
        <w:jc w:val="center"/>
        <w:rPr>
          <w:rFonts w:ascii="Times New Roman" w:hAnsi="Times New Roman" w:cs="Times New Roman"/>
          <w:b/>
          <w:sz w:val="24"/>
          <w:szCs w:val="24"/>
        </w:rPr>
      </w:pPr>
    </w:p>
    <w:p w:rsidR="00C03F46" w:rsidRPr="00C03F46" w:rsidRDefault="00C03F46" w:rsidP="00C03F46">
      <w:pPr>
        <w:jc w:val="center"/>
        <w:rPr>
          <w:rFonts w:ascii="Times New Roman" w:eastAsia="Times New Roman" w:hAnsi="Times New Roman" w:cs="Times New Roman"/>
          <w:b/>
          <w:sz w:val="24"/>
          <w:szCs w:val="20"/>
          <w:lang w:eastAsia="en-US"/>
        </w:rPr>
      </w:pPr>
      <w:r w:rsidRPr="00C03F46">
        <w:rPr>
          <w:rFonts w:ascii="Times New Roman" w:eastAsia="Times New Roman" w:hAnsi="Times New Roman" w:cs="Times New Roman"/>
          <w:b/>
          <w:sz w:val="24"/>
          <w:szCs w:val="20"/>
          <w:lang w:eastAsia="en-US"/>
        </w:rPr>
        <w:t>VAS “Latvijas dzelzceļš” organizētā</w:t>
      </w:r>
    </w:p>
    <w:p w:rsidR="00C03F46" w:rsidRPr="00C03F46" w:rsidRDefault="00C03F46" w:rsidP="00C03F46">
      <w:pPr>
        <w:ind w:left="142" w:right="-1"/>
        <w:jc w:val="center"/>
        <w:rPr>
          <w:rFonts w:ascii="Times New Roman" w:eastAsia="Times New Roman" w:hAnsi="Times New Roman" w:cs="Times New Roman"/>
          <w:b/>
          <w:sz w:val="24"/>
          <w:szCs w:val="24"/>
          <w:lang w:eastAsia="en-US"/>
        </w:rPr>
      </w:pPr>
      <w:r w:rsidRPr="00C03F46">
        <w:rPr>
          <w:rFonts w:ascii="Times New Roman" w:eastAsia="Times New Roman" w:hAnsi="Times New Roman" w:cs="Times New Roman"/>
          <w:b/>
          <w:sz w:val="24"/>
          <w:szCs w:val="24"/>
          <w:lang w:eastAsia="en-US"/>
        </w:rPr>
        <w:t>sarunu procedūra ar publikāciju</w:t>
      </w:r>
    </w:p>
    <w:p w:rsidR="00C03F46" w:rsidRPr="00C03F46" w:rsidRDefault="00C03F46" w:rsidP="00C03F46">
      <w:pPr>
        <w:ind w:left="284" w:right="-1"/>
        <w:jc w:val="center"/>
        <w:rPr>
          <w:rFonts w:ascii="Times New Roman" w:eastAsia="Calibri" w:hAnsi="Times New Roman" w:cs="Times New Roman"/>
          <w:b/>
          <w:sz w:val="24"/>
        </w:rPr>
      </w:pPr>
      <w:r w:rsidRPr="00C03F46">
        <w:rPr>
          <w:rFonts w:ascii="Times New Roman" w:eastAsia="Times New Roman" w:hAnsi="Times New Roman" w:cs="Times New Roman"/>
          <w:b/>
          <w:sz w:val="24"/>
          <w:szCs w:val="24"/>
          <w:lang w:eastAsia="en-US"/>
        </w:rPr>
        <w:t>„</w:t>
      </w:r>
      <w:r w:rsidR="00EF78AF" w:rsidRPr="00EF78AF">
        <w:t xml:space="preserve"> </w:t>
      </w:r>
      <w:r w:rsidR="00EF78AF" w:rsidRPr="00EF78AF">
        <w:rPr>
          <w:rFonts w:ascii="Times New Roman" w:eastAsia="Times New Roman" w:hAnsi="Times New Roman" w:cs="Times New Roman"/>
          <w:b/>
          <w:sz w:val="24"/>
          <w:szCs w:val="24"/>
          <w:lang w:eastAsia="en-US"/>
        </w:rPr>
        <w:t>Automātisko bremžu iekārtu rezerves daļu un citu izstrādājumu piegāde SIA “LDZ ritošā sastāva serviss” vajadzībām</w:t>
      </w:r>
      <w:r w:rsidRPr="00C03F46">
        <w:rPr>
          <w:rFonts w:ascii="Times New Roman" w:eastAsia="Times New Roman" w:hAnsi="Times New Roman" w:cs="Times New Roman"/>
          <w:b/>
          <w:sz w:val="24"/>
          <w:szCs w:val="24"/>
          <w:lang w:eastAsia="en-US"/>
        </w:rPr>
        <w:t>”</w:t>
      </w:r>
    </w:p>
    <w:p w:rsidR="00C03F46" w:rsidRPr="00C03F46" w:rsidRDefault="00C03F46" w:rsidP="00C03F46">
      <w:pPr>
        <w:ind w:left="284" w:right="282"/>
        <w:jc w:val="center"/>
        <w:rPr>
          <w:rFonts w:ascii="Times New Roman" w:eastAsia="Calibri" w:hAnsi="Times New Roman" w:cs="Times New Roman"/>
          <w:b/>
          <w:sz w:val="24"/>
        </w:rPr>
      </w:pPr>
      <w:r w:rsidRPr="00C03F46">
        <w:rPr>
          <w:rFonts w:ascii="Times New Roman" w:eastAsia="Calibri" w:hAnsi="Times New Roman" w:cs="Times New Roman"/>
          <w:b/>
          <w:sz w:val="24"/>
        </w:rPr>
        <w:t>SKAIDROJUMS Nr.1</w:t>
      </w:r>
    </w:p>
    <w:p w:rsidR="009D403C" w:rsidRPr="00FC29CF" w:rsidRDefault="009D403C" w:rsidP="009D403C">
      <w:pPr>
        <w:pStyle w:val="Title"/>
        <w:tabs>
          <w:tab w:val="left" w:pos="5775"/>
        </w:tabs>
        <w:jc w:val="left"/>
        <w:rPr>
          <w:b/>
          <w:sz w:val="24"/>
          <w:szCs w:val="24"/>
        </w:rPr>
      </w:pPr>
      <w:r w:rsidRPr="00FC29CF">
        <w:rPr>
          <w:b/>
          <w:sz w:val="24"/>
          <w:szCs w:val="24"/>
        </w:rPr>
        <w:tab/>
      </w:r>
    </w:p>
    <w:tbl>
      <w:tblPr>
        <w:tblStyle w:val="TableGrid"/>
        <w:tblW w:w="9493" w:type="dxa"/>
        <w:tblLook w:val="04A0" w:firstRow="1" w:lastRow="0" w:firstColumn="1" w:lastColumn="0" w:noHBand="0" w:noVBand="1"/>
      </w:tblPr>
      <w:tblGrid>
        <w:gridCol w:w="704"/>
        <w:gridCol w:w="4678"/>
        <w:gridCol w:w="4111"/>
      </w:tblGrid>
      <w:tr w:rsidR="008374E0" w:rsidRPr="00FC29CF" w:rsidTr="00247DBB">
        <w:trPr>
          <w:trHeight w:val="655"/>
        </w:trPr>
        <w:tc>
          <w:tcPr>
            <w:tcW w:w="704" w:type="dxa"/>
            <w:shd w:val="clear" w:color="auto" w:fill="FFF2CC"/>
            <w:vAlign w:val="center"/>
          </w:tcPr>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Nr.</w:t>
            </w:r>
          </w:p>
          <w:p w:rsidR="009D403C" w:rsidRPr="00FC29CF" w:rsidRDefault="009D403C" w:rsidP="00965759">
            <w:pPr>
              <w:jc w:val="center"/>
              <w:rPr>
                <w:rFonts w:ascii="Times New Roman" w:eastAsia="Calibri" w:hAnsi="Times New Roman" w:cs="Times New Roman"/>
                <w:b/>
                <w:szCs w:val="24"/>
                <w:lang w:eastAsia="en-US"/>
              </w:rPr>
            </w:pPr>
            <w:r w:rsidRPr="00FC29CF">
              <w:rPr>
                <w:rFonts w:ascii="Times New Roman" w:eastAsia="Calibri" w:hAnsi="Times New Roman" w:cs="Times New Roman"/>
                <w:b/>
                <w:szCs w:val="24"/>
                <w:lang w:eastAsia="en-US"/>
              </w:rPr>
              <w:t>p.k.</w:t>
            </w:r>
          </w:p>
        </w:tc>
        <w:tc>
          <w:tcPr>
            <w:tcW w:w="4678" w:type="dxa"/>
            <w:shd w:val="clear" w:color="auto" w:fill="FFF2CC"/>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Jautājumi</w:t>
            </w:r>
          </w:p>
        </w:tc>
        <w:tc>
          <w:tcPr>
            <w:tcW w:w="4111" w:type="dxa"/>
            <w:shd w:val="clear" w:color="auto" w:fill="FFF2CC" w:themeFill="accent4" w:themeFillTint="33"/>
            <w:vAlign w:val="center"/>
          </w:tcPr>
          <w:p w:rsidR="009D403C" w:rsidRPr="00FC29CF" w:rsidRDefault="009D403C" w:rsidP="00965759">
            <w:pPr>
              <w:jc w:val="center"/>
              <w:rPr>
                <w:rFonts w:ascii="Times New Roman" w:eastAsia="Calibri" w:hAnsi="Times New Roman" w:cs="Times New Roman"/>
                <w:b/>
                <w:i/>
                <w:szCs w:val="24"/>
                <w:lang w:eastAsia="en-US"/>
              </w:rPr>
            </w:pPr>
            <w:r w:rsidRPr="00FC29CF">
              <w:rPr>
                <w:rFonts w:ascii="Times New Roman" w:eastAsia="Calibri" w:hAnsi="Times New Roman" w:cs="Times New Roman"/>
                <w:b/>
                <w:i/>
                <w:szCs w:val="24"/>
                <w:lang w:eastAsia="en-US"/>
              </w:rPr>
              <w:t>Atbildes</w:t>
            </w:r>
          </w:p>
        </w:tc>
      </w:tr>
      <w:tr w:rsidR="004E7266" w:rsidRPr="00FC29CF" w:rsidTr="00247DBB">
        <w:trPr>
          <w:trHeight w:val="1102"/>
        </w:trPr>
        <w:tc>
          <w:tcPr>
            <w:tcW w:w="704" w:type="dxa"/>
          </w:tcPr>
          <w:p w:rsidR="004E7266" w:rsidRPr="00FC29CF" w:rsidRDefault="004E7266" w:rsidP="004E7266">
            <w:pPr>
              <w:jc w:val="center"/>
              <w:rPr>
                <w:rFonts w:ascii="Times New Roman" w:hAnsi="Times New Roman" w:cs="Times New Roman"/>
                <w:b/>
                <w:szCs w:val="24"/>
              </w:rPr>
            </w:pPr>
            <w:r w:rsidRPr="00FC29CF">
              <w:rPr>
                <w:rFonts w:ascii="Times New Roman" w:hAnsi="Times New Roman" w:cs="Times New Roman"/>
                <w:b/>
                <w:szCs w:val="24"/>
              </w:rPr>
              <w:t>1.</w:t>
            </w:r>
          </w:p>
        </w:tc>
        <w:tc>
          <w:tcPr>
            <w:tcW w:w="4678" w:type="dxa"/>
          </w:tcPr>
          <w:p w:rsidR="00F350D7" w:rsidRPr="00F350D7" w:rsidRDefault="00F350D7" w:rsidP="00F350D7">
            <w:pPr>
              <w:pStyle w:val="Default"/>
              <w:rPr>
                <w:rFonts w:asciiTheme="minorHAnsi" w:hAnsiTheme="minorHAnsi"/>
                <w:sz w:val="22"/>
                <w:szCs w:val="22"/>
              </w:rPr>
            </w:pPr>
            <w:r w:rsidRPr="00F350D7">
              <w:rPr>
                <w:rFonts w:asciiTheme="minorHAnsi" w:hAnsiTheme="minorHAnsi"/>
                <w:sz w:val="22"/>
                <w:szCs w:val="22"/>
              </w:rPr>
              <w:t xml:space="preserve">Saistībā ar SARUNU PROCEDŪRU AR PUBLIKĀCIJU “Automātisko bremžu iekārtu rezerves daļu un citu izstrādājumu piegāde SIA “LDZ ritošā sastāva serviss” vajadzībām”, esam saņēmuši sekojošu informāciju no mūsu sadarbības partneriem Čehijas Republikā un Slovākijā: </w:t>
            </w:r>
          </w:p>
          <w:p w:rsidR="00F350D7" w:rsidRPr="00F350D7" w:rsidRDefault="00F350D7" w:rsidP="00F350D7">
            <w:pPr>
              <w:pStyle w:val="Default"/>
              <w:rPr>
                <w:rFonts w:asciiTheme="minorHAnsi" w:hAnsiTheme="minorHAnsi"/>
                <w:sz w:val="22"/>
                <w:szCs w:val="22"/>
              </w:rPr>
            </w:pPr>
            <w:r w:rsidRPr="00F350D7">
              <w:rPr>
                <w:rFonts w:asciiTheme="minorHAnsi" w:hAnsiTheme="minorHAnsi"/>
                <w:i/>
                <w:iCs/>
                <w:sz w:val="22"/>
                <w:szCs w:val="22"/>
              </w:rPr>
              <w:t xml:space="preserve">The factory for brake components is on vacation/holiday just now, so it is too complicated make a serious offer just now… </w:t>
            </w:r>
          </w:p>
          <w:p w:rsidR="00F350D7" w:rsidRPr="00F350D7" w:rsidRDefault="00F350D7" w:rsidP="00F350D7">
            <w:pPr>
              <w:pStyle w:val="Default"/>
              <w:rPr>
                <w:rFonts w:asciiTheme="minorHAnsi" w:hAnsiTheme="minorHAnsi"/>
                <w:sz w:val="22"/>
                <w:szCs w:val="22"/>
              </w:rPr>
            </w:pPr>
            <w:r w:rsidRPr="00F350D7">
              <w:rPr>
                <w:rFonts w:asciiTheme="minorHAnsi" w:hAnsiTheme="minorHAnsi"/>
                <w:i/>
                <w:iCs/>
                <w:sz w:val="22"/>
                <w:szCs w:val="22"/>
              </w:rPr>
              <w:t xml:space="preserve">We wil try to do the best till 01.08.2019 (until August 1), but the chances for offer are very small… </w:t>
            </w:r>
          </w:p>
          <w:p w:rsidR="00F350D7" w:rsidRPr="00F350D7" w:rsidRDefault="00F350D7" w:rsidP="00F350D7">
            <w:pPr>
              <w:pStyle w:val="Default"/>
              <w:rPr>
                <w:rFonts w:asciiTheme="minorHAnsi" w:hAnsiTheme="minorHAnsi"/>
                <w:sz w:val="22"/>
                <w:szCs w:val="22"/>
              </w:rPr>
            </w:pPr>
            <w:r w:rsidRPr="00F350D7">
              <w:rPr>
                <w:rFonts w:asciiTheme="minorHAnsi" w:hAnsiTheme="minorHAnsi"/>
                <w:sz w:val="22"/>
                <w:szCs w:val="22"/>
              </w:rPr>
              <w:t xml:space="preserve">“Sakarā ar to, ka bremzes detaļu rūpnīcas šobrīd ir atvaļinājumā/brīvdienās, nav iespējas sniegt piedāvājumu attiecīgām pozīcijām, mēs centīsimies darīt visu iespējamo, lai sniegu piedāvājumu līdz 1.augustam (01.08.2019.), taču ņemot vērā atvalinājuma/brīvdienu apstākli rūpnīcās, to nevaram garantēt..” </w:t>
            </w:r>
          </w:p>
          <w:p w:rsidR="00F350D7" w:rsidRPr="00F350D7" w:rsidRDefault="00F350D7" w:rsidP="00F350D7">
            <w:pPr>
              <w:pStyle w:val="Default"/>
              <w:rPr>
                <w:rFonts w:asciiTheme="minorHAnsi" w:hAnsiTheme="minorHAnsi"/>
                <w:sz w:val="22"/>
                <w:szCs w:val="22"/>
              </w:rPr>
            </w:pPr>
            <w:r w:rsidRPr="00F350D7">
              <w:rPr>
                <w:rFonts w:asciiTheme="minorHAnsi" w:hAnsiTheme="minorHAnsi"/>
                <w:sz w:val="22"/>
                <w:szCs w:val="22"/>
              </w:rPr>
              <w:t>Ņemot</w:t>
            </w:r>
            <w:r w:rsidR="00EF78AF">
              <w:rPr>
                <w:rFonts w:asciiTheme="minorHAnsi" w:hAnsiTheme="minorHAnsi"/>
                <w:sz w:val="22"/>
                <w:szCs w:val="22"/>
              </w:rPr>
              <w:t xml:space="preserve"> </w:t>
            </w:r>
            <w:r w:rsidRPr="00F350D7">
              <w:rPr>
                <w:rFonts w:asciiTheme="minorHAnsi" w:hAnsiTheme="minorHAnsi"/>
                <w:sz w:val="22"/>
                <w:szCs w:val="22"/>
              </w:rPr>
              <w:t xml:space="preserve"> vērā, ka konkursa piedāvājums ir jāiesniedz līdz pirmdienai, 5.augustam, un ka 3. un 4. augusts ir brīvdienas, konkursa piedāvājuma sagatavošanai atliek maz laika - tikai līdz piektdienai, 2. augustam, lai apstrādātu informāciju un datus par pozīcijām no Čehijas Republikas un Slovākijas, gadījumā, ja mūsu sadarbības partneri spēs līdz 1. augustam sniegt mums piedāvājumu no rūpnīcas. </w:t>
            </w:r>
          </w:p>
          <w:p w:rsidR="004E7266" w:rsidRPr="00F350D7" w:rsidRDefault="00F350D7" w:rsidP="00F350D7">
            <w:pPr>
              <w:rPr>
                <w:rFonts w:asciiTheme="minorHAnsi" w:hAnsiTheme="minorHAnsi" w:cs="Times New Roman"/>
                <w:sz w:val="22"/>
              </w:rPr>
            </w:pPr>
            <w:r w:rsidRPr="00F350D7">
              <w:rPr>
                <w:rFonts w:asciiTheme="minorHAnsi" w:hAnsiTheme="minorHAnsi" w:cs="Times New Roman"/>
                <w:sz w:val="22"/>
              </w:rPr>
              <w:t>Lūdzam pagarināt piedāvājuma iesniegšanas termiņu šīm pozīcijām, skatīt tabulu, piemēram, līdz 12. augustam. Varbūt Jūs varat piedāvāt kādu citu risinājumu šai situācijai.</w:t>
            </w:r>
          </w:p>
        </w:tc>
        <w:tc>
          <w:tcPr>
            <w:tcW w:w="4111" w:type="dxa"/>
          </w:tcPr>
          <w:p w:rsidR="00F350D7" w:rsidRDefault="005C6483" w:rsidP="00F350D7">
            <w:pPr>
              <w:rPr>
                <w:rFonts w:eastAsia="Calibri"/>
                <w:color w:val="000000"/>
              </w:rPr>
            </w:pPr>
            <w:r>
              <w:rPr>
                <w:rFonts w:eastAsia="Calibri"/>
                <w:color w:val="000000"/>
              </w:rPr>
              <w:t>Pagarināt</w:t>
            </w:r>
            <w:r w:rsidR="00F350D7" w:rsidRPr="00F350D7">
              <w:rPr>
                <w:rFonts w:eastAsia="Calibri"/>
                <w:color w:val="000000"/>
              </w:rPr>
              <w:t xml:space="preserve"> piedāvājuma iesniegšanas termiņ</w:t>
            </w:r>
            <w:r>
              <w:rPr>
                <w:rFonts w:eastAsia="Calibri"/>
                <w:color w:val="000000"/>
              </w:rPr>
              <w:t>u</w:t>
            </w:r>
            <w:r w:rsidR="00F350D7" w:rsidRPr="00F350D7">
              <w:rPr>
                <w:rFonts w:eastAsia="Calibri"/>
                <w:color w:val="000000"/>
              </w:rPr>
              <w:t xml:space="preserve"> līdz 1</w:t>
            </w:r>
            <w:r w:rsidR="006B6D1B">
              <w:rPr>
                <w:rFonts w:eastAsia="Calibri"/>
                <w:color w:val="000000"/>
              </w:rPr>
              <w:t>3</w:t>
            </w:r>
            <w:bookmarkStart w:id="0" w:name="_GoBack"/>
            <w:bookmarkEnd w:id="0"/>
            <w:r w:rsidR="00F350D7" w:rsidRPr="00F350D7">
              <w:rPr>
                <w:rFonts w:eastAsia="Calibri"/>
                <w:color w:val="000000"/>
              </w:rPr>
              <w:t>.08.</w:t>
            </w:r>
            <w:r w:rsidR="007E4F14">
              <w:rPr>
                <w:rFonts w:eastAsia="Calibri"/>
                <w:color w:val="000000"/>
              </w:rPr>
              <w:t>2019.</w:t>
            </w:r>
            <w:r>
              <w:rPr>
                <w:rFonts w:eastAsia="Calibri"/>
                <w:color w:val="000000"/>
              </w:rPr>
              <w:t xml:space="preserve"> plkst.</w:t>
            </w:r>
            <w:r w:rsidR="001C29C5">
              <w:rPr>
                <w:rFonts w:eastAsia="Calibri"/>
                <w:color w:val="000000"/>
              </w:rPr>
              <w:t>10.40</w:t>
            </w:r>
            <w:r>
              <w:rPr>
                <w:rFonts w:eastAsia="Calibri"/>
                <w:color w:val="000000"/>
              </w:rPr>
              <w:t>.</w:t>
            </w:r>
          </w:p>
          <w:p w:rsidR="005C6483" w:rsidRDefault="005C6483" w:rsidP="00F350D7">
            <w:pPr>
              <w:rPr>
                <w:rFonts w:eastAsia="Calibri"/>
                <w:color w:val="000000"/>
              </w:rPr>
            </w:pPr>
          </w:p>
          <w:p w:rsidR="005C6483" w:rsidRPr="00F350D7" w:rsidRDefault="005C6483" w:rsidP="00F350D7">
            <w:pPr>
              <w:rPr>
                <w:rFonts w:eastAsia="Calibri"/>
                <w:color w:val="000000"/>
              </w:rPr>
            </w:pPr>
            <w:r>
              <w:rPr>
                <w:rFonts w:eastAsia="Calibri"/>
                <w:color w:val="000000"/>
              </w:rPr>
              <w:t>Saistībā ar minētajām izmaiņām pretendentiem ņemt vērā attiecīgās datumu korekcijas sarunu procedūras nolikuma 1.4. un 1.7.1. punkta redakcijās.</w:t>
            </w:r>
          </w:p>
          <w:p w:rsidR="004E7266" w:rsidRPr="00FC29CF" w:rsidRDefault="004E7266" w:rsidP="004E7266">
            <w:pPr>
              <w:rPr>
                <w:rFonts w:ascii="Times New Roman" w:eastAsia="Calibri" w:hAnsi="Times New Roman" w:cs="Times New Roman"/>
                <w:szCs w:val="24"/>
                <w:lang w:eastAsia="en-US"/>
              </w:rPr>
            </w:pPr>
          </w:p>
        </w:tc>
      </w:tr>
    </w:tbl>
    <w:p w:rsidR="0098236C" w:rsidRPr="00FC29CF" w:rsidRDefault="0098236C">
      <w:pPr>
        <w:rPr>
          <w:rFonts w:ascii="Arial" w:hAnsi="Arial" w:cs="Arial"/>
        </w:rPr>
      </w:pPr>
    </w:p>
    <w:sectPr w:rsidR="0098236C" w:rsidRPr="00FC29CF"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A31" w:rsidRDefault="00D06A31">
      <w:r>
        <w:separator/>
      </w:r>
    </w:p>
  </w:endnote>
  <w:endnote w:type="continuationSeparator" w:id="0">
    <w:p w:rsidR="00D06A31" w:rsidRDefault="00D06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8414624"/>
      <w:docPartObj>
        <w:docPartGallery w:val="Page Numbers (Bottom of Page)"/>
        <w:docPartUnique/>
      </w:docPartObj>
    </w:sdtPr>
    <w:sdtEndPr>
      <w:rPr>
        <w:noProof/>
      </w:rPr>
    </w:sdtEndPr>
    <w:sdtContent>
      <w:p w:rsidR="00591256" w:rsidRDefault="00DB27BB">
        <w:pPr>
          <w:pStyle w:val="Footer"/>
          <w:jc w:val="center"/>
        </w:pPr>
        <w:r>
          <w:fldChar w:fldCharType="begin"/>
        </w:r>
        <w:r>
          <w:instrText xml:space="preserve"> PAGE   \* MERGEFORMAT </w:instrText>
        </w:r>
        <w:r>
          <w:fldChar w:fldCharType="separate"/>
        </w:r>
        <w:r w:rsidR="00F350D7">
          <w:rPr>
            <w:noProof/>
          </w:rPr>
          <w:t>2</w:t>
        </w:r>
        <w:r>
          <w:rPr>
            <w:noProof/>
          </w:rPr>
          <w:fldChar w:fldCharType="end"/>
        </w:r>
      </w:p>
    </w:sdtContent>
  </w:sdt>
  <w:p w:rsidR="00591256" w:rsidRDefault="00D06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A31" w:rsidRDefault="00D06A31">
      <w:r>
        <w:separator/>
      </w:r>
    </w:p>
  </w:footnote>
  <w:footnote w:type="continuationSeparator" w:id="0">
    <w:p w:rsidR="00D06A31" w:rsidRDefault="00D06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63A84"/>
    <w:multiLevelType w:val="multilevel"/>
    <w:tmpl w:val="596ABF3E"/>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03C"/>
    <w:rsid w:val="00013625"/>
    <w:rsid w:val="00022B97"/>
    <w:rsid w:val="000719EE"/>
    <w:rsid w:val="0009383D"/>
    <w:rsid w:val="000A5E8F"/>
    <w:rsid w:val="000C5D22"/>
    <w:rsid w:val="00100612"/>
    <w:rsid w:val="001167AD"/>
    <w:rsid w:val="00132262"/>
    <w:rsid w:val="001467D1"/>
    <w:rsid w:val="00184CC9"/>
    <w:rsid w:val="00185AF3"/>
    <w:rsid w:val="001A72C7"/>
    <w:rsid w:val="001C29C5"/>
    <w:rsid w:val="001E4530"/>
    <w:rsid w:val="001F0899"/>
    <w:rsid w:val="0023606E"/>
    <w:rsid w:val="00247DBB"/>
    <w:rsid w:val="0025361F"/>
    <w:rsid w:val="00285057"/>
    <w:rsid w:val="00295822"/>
    <w:rsid w:val="00306260"/>
    <w:rsid w:val="003204EA"/>
    <w:rsid w:val="00372BD3"/>
    <w:rsid w:val="003A40DD"/>
    <w:rsid w:val="003B2849"/>
    <w:rsid w:val="00411370"/>
    <w:rsid w:val="00431040"/>
    <w:rsid w:val="004B559C"/>
    <w:rsid w:val="004E2430"/>
    <w:rsid w:val="004E7266"/>
    <w:rsid w:val="0052385A"/>
    <w:rsid w:val="005769F6"/>
    <w:rsid w:val="0059041B"/>
    <w:rsid w:val="005C6483"/>
    <w:rsid w:val="005C6CCC"/>
    <w:rsid w:val="005C6DEF"/>
    <w:rsid w:val="005D1947"/>
    <w:rsid w:val="00670559"/>
    <w:rsid w:val="0069765C"/>
    <w:rsid w:val="006A1AE7"/>
    <w:rsid w:val="006A7726"/>
    <w:rsid w:val="006B6D1B"/>
    <w:rsid w:val="00793F53"/>
    <w:rsid w:val="007C3720"/>
    <w:rsid w:val="007D63DE"/>
    <w:rsid w:val="007E4F14"/>
    <w:rsid w:val="0080096D"/>
    <w:rsid w:val="0081137C"/>
    <w:rsid w:val="008356A1"/>
    <w:rsid w:val="008374E0"/>
    <w:rsid w:val="00837772"/>
    <w:rsid w:val="00867D0D"/>
    <w:rsid w:val="008E6133"/>
    <w:rsid w:val="008F1487"/>
    <w:rsid w:val="00915E29"/>
    <w:rsid w:val="00924EC1"/>
    <w:rsid w:val="009663D9"/>
    <w:rsid w:val="009711C0"/>
    <w:rsid w:val="00976B22"/>
    <w:rsid w:val="0098193D"/>
    <w:rsid w:val="0098236C"/>
    <w:rsid w:val="009C6864"/>
    <w:rsid w:val="009D403C"/>
    <w:rsid w:val="00A45943"/>
    <w:rsid w:val="00A4780A"/>
    <w:rsid w:val="00A90F12"/>
    <w:rsid w:val="00B74363"/>
    <w:rsid w:val="00BE6801"/>
    <w:rsid w:val="00BE6B3A"/>
    <w:rsid w:val="00C007C0"/>
    <w:rsid w:val="00C03F46"/>
    <w:rsid w:val="00C20434"/>
    <w:rsid w:val="00C413FA"/>
    <w:rsid w:val="00C95FD6"/>
    <w:rsid w:val="00CA283C"/>
    <w:rsid w:val="00CC3334"/>
    <w:rsid w:val="00CC6029"/>
    <w:rsid w:val="00CD008A"/>
    <w:rsid w:val="00CF0681"/>
    <w:rsid w:val="00D022D9"/>
    <w:rsid w:val="00D04616"/>
    <w:rsid w:val="00D06A31"/>
    <w:rsid w:val="00D74D1E"/>
    <w:rsid w:val="00D81340"/>
    <w:rsid w:val="00DB1DE4"/>
    <w:rsid w:val="00DB27BB"/>
    <w:rsid w:val="00DE7FC0"/>
    <w:rsid w:val="00E5587E"/>
    <w:rsid w:val="00E81FA3"/>
    <w:rsid w:val="00EF78AF"/>
    <w:rsid w:val="00F30E21"/>
    <w:rsid w:val="00F350D7"/>
    <w:rsid w:val="00F535CC"/>
    <w:rsid w:val="00F65E23"/>
    <w:rsid w:val="00F81F38"/>
    <w:rsid w:val="00FC29CF"/>
    <w:rsid w:val="00FD7F8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7AB3C"/>
  <w15:chartTrackingRefBased/>
  <w15:docId w15:val="{9259C751-56B1-42F2-B791-6C0B6592F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03C"/>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D403C"/>
    <w:pPr>
      <w:tabs>
        <w:tab w:val="center" w:pos="4153"/>
        <w:tab w:val="right" w:pos="8306"/>
      </w:tabs>
    </w:pPr>
  </w:style>
  <w:style w:type="character" w:customStyle="1" w:styleId="FooterChar">
    <w:name w:val="Footer Char"/>
    <w:basedOn w:val="DefaultParagraphFont"/>
    <w:link w:val="Footer"/>
    <w:uiPriority w:val="99"/>
    <w:rsid w:val="009D403C"/>
    <w:rPr>
      <w:rFonts w:ascii="Calibri" w:hAnsi="Calibri" w:cs="Calibri"/>
      <w:lang w:eastAsia="lv-LV"/>
    </w:rPr>
  </w:style>
  <w:style w:type="table" w:styleId="TableGrid">
    <w:name w:val="Table Grid"/>
    <w:basedOn w:val="TableNormal"/>
    <w:uiPriority w:val="39"/>
    <w:rsid w:val="009D403C"/>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9D403C"/>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9D403C"/>
    <w:rPr>
      <w:rFonts w:ascii="Times New Roman" w:eastAsia="Times New Roman" w:hAnsi="Times New Roman" w:cs="Times New Roman"/>
      <w:sz w:val="28"/>
      <w:szCs w:val="20"/>
    </w:rPr>
  </w:style>
  <w:style w:type="character" w:styleId="CommentReference">
    <w:name w:val="annotation reference"/>
    <w:basedOn w:val="DefaultParagraphFont"/>
    <w:uiPriority w:val="99"/>
    <w:semiHidden/>
    <w:unhideWhenUsed/>
    <w:rsid w:val="00D04616"/>
    <w:rPr>
      <w:sz w:val="16"/>
      <w:szCs w:val="16"/>
    </w:rPr>
  </w:style>
  <w:style w:type="paragraph" w:styleId="CommentText">
    <w:name w:val="annotation text"/>
    <w:basedOn w:val="Normal"/>
    <w:link w:val="CommentTextChar"/>
    <w:uiPriority w:val="99"/>
    <w:semiHidden/>
    <w:unhideWhenUsed/>
    <w:rsid w:val="00D04616"/>
    <w:rPr>
      <w:sz w:val="20"/>
      <w:szCs w:val="20"/>
    </w:rPr>
  </w:style>
  <w:style w:type="character" w:customStyle="1" w:styleId="CommentTextChar">
    <w:name w:val="Comment Text Char"/>
    <w:basedOn w:val="DefaultParagraphFont"/>
    <w:link w:val="CommentText"/>
    <w:uiPriority w:val="99"/>
    <w:semiHidden/>
    <w:rsid w:val="00D04616"/>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D04616"/>
    <w:rPr>
      <w:b/>
      <w:bCs/>
    </w:rPr>
  </w:style>
  <w:style w:type="character" w:customStyle="1" w:styleId="CommentSubjectChar">
    <w:name w:val="Comment Subject Char"/>
    <w:basedOn w:val="CommentTextChar"/>
    <w:link w:val="CommentSubject"/>
    <w:uiPriority w:val="99"/>
    <w:semiHidden/>
    <w:rsid w:val="00D04616"/>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D046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616"/>
    <w:rPr>
      <w:rFonts w:ascii="Segoe UI" w:hAnsi="Segoe UI" w:cs="Segoe UI"/>
      <w:sz w:val="18"/>
      <w:szCs w:val="18"/>
      <w:lang w:eastAsia="lv-LV"/>
    </w:rPr>
  </w:style>
  <w:style w:type="paragraph" w:styleId="ListParagraph">
    <w:name w:val="List Paragraph"/>
    <w:aliases w:val="Syle 1"/>
    <w:basedOn w:val="Normal"/>
    <w:link w:val="ListParagraphChar"/>
    <w:uiPriority w:val="34"/>
    <w:qFormat/>
    <w:rsid w:val="001E4530"/>
    <w:pPr>
      <w:spacing w:after="5" w:line="268" w:lineRule="auto"/>
      <w:ind w:left="720" w:right="84" w:hanging="10"/>
      <w:contextualSpacing/>
      <w:jc w:val="both"/>
    </w:pPr>
    <w:rPr>
      <w:rFonts w:ascii="Times New Roman" w:eastAsia="Times New Roman" w:hAnsi="Times New Roman" w:cs="Times New Roman"/>
      <w:color w:val="000000"/>
      <w:lang w:val="ru-RU" w:eastAsia="ru-RU"/>
    </w:rPr>
  </w:style>
  <w:style w:type="character" w:customStyle="1" w:styleId="ListParagraphChar">
    <w:name w:val="List Paragraph Char"/>
    <w:aliases w:val="Syle 1 Char"/>
    <w:link w:val="ListParagraph"/>
    <w:uiPriority w:val="34"/>
    <w:locked/>
    <w:rsid w:val="001E4530"/>
    <w:rPr>
      <w:rFonts w:ascii="Times New Roman" w:eastAsia="Times New Roman" w:hAnsi="Times New Roman" w:cs="Times New Roman"/>
      <w:color w:val="000000"/>
      <w:lang w:val="ru-RU" w:eastAsia="ru-RU"/>
    </w:rPr>
  </w:style>
  <w:style w:type="paragraph" w:customStyle="1" w:styleId="Default">
    <w:name w:val="Default"/>
    <w:rsid w:val="00F350D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59106">
      <w:bodyDiv w:val="1"/>
      <w:marLeft w:val="0"/>
      <w:marRight w:val="0"/>
      <w:marTop w:val="0"/>
      <w:marBottom w:val="0"/>
      <w:divBdr>
        <w:top w:val="none" w:sz="0" w:space="0" w:color="auto"/>
        <w:left w:val="none" w:sz="0" w:space="0" w:color="auto"/>
        <w:bottom w:val="none" w:sz="0" w:space="0" w:color="auto"/>
        <w:right w:val="none" w:sz="0" w:space="0" w:color="auto"/>
      </w:divBdr>
    </w:div>
    <w:div w:id="352800744">
      <w:bodyDiv w:val="1"/>
      <w:marLeft w:val="0"/>
      <w:marRight w:val="0"/>
      <w:marTop w:val="0"/>
      <w:marBottom w:val="0"/>
      <w:divBdr>
        <w:top w:val="none" w:sz="0" w:space="0" w:color="auto"/>
        <w:left w:val="none" w:sz="0" w:space="0" w:color="auto"/>
        <w:bottom w:val="none" w:sz="0" w:space="0" w:color="auto"/>
        <w:right w:val="none" w:sz="0" w:space="0" w:color="auto"/>
      </w:divBdr>
    </w:div>
    <w:div w:id="556088457">
      <w:bodyDiv w:val="1"/>
      <w:marLeft w:val="0"/>
      <w:marRight w:val="0"/>
      <w:marTop w:val="0"/>
      <w:marBottom w:val="0"/>
      <w:divBdr>
        <w:top w:val="none" w:sz="0" w:space="0" w:color="auto"/>
        <w:left w:val="none" w:sz="0" w:space="0" w:color="auto"/>
        <w:bottom w:val="none" w:sz="0" w:space="0" w:color="auto"/>
        <w:right w:val="none" w:sz="0" w:space="0" w:color="auto"/>
      </w:divBdr>
    </w:div>
    <w:div w:id="1085222665">
      <w:bodyDiv w:val="1"/>
      <w:marLeft w:val="0"/>
      <w:marRight w:val="0"/>
      <w:marTop w:val="0"/>
      <w:marBottom w:val="0"/>
      <w:divBdr>
        <w:top w:val="none" w:sz="0" w:space="0" w:color="auto"/>
        <w:left w:val="none" w:sz="0" w:space="0" w:color="auto"/>
        <w:bottom w:val="none" w:sz="0" w:space="0" w:color="auto"/>
        <w:right w:val="none" w:sz="0" w:space="0" w:color="auto"/>
      </w:divBdr>
    </w:div>
    <w:div w:id="1296987951">
      <w:bodyDiv w:val="1"/>
      <w:marLeft w:val="0"/>
      <w:marRight w:val="0"/>
      <w:marTop w:val="0"/>
      <w:marBottom w:val="0"/>
      <w:divBdr>
        <w:top w:val="none" w:sz="0" w:space="0" w:color="auto"/>
        <w:left w:val="none" w:sz="0" w:space="0" w:color="auto"/>
        <w:bottom w:val="none" w:sz="0" w:space="0" w:color="auto"/>
        <w:right w:val="none" w:sz="0" w:space="0" w:color="auto"/>
      </w:divBdr>
    </w:div>
    <w:div w:id="1515925572">
      <w:bodyDiv w:val="1"/>
      <w:marLeft w:val="0"/>
      <w:marRight w:val="0"/>
      <w:marTop w:val="0"/>
      <w:marBottom w:val="0"/>
      <w:divBdr>
        <w:top w:val="none" w:sz="0" w:space="0" w:color="auto"/>
        <w:left w:val="none" w:sz="0" w:space="0" w:color="auto"/>
        <w:bottom w:val="none" w:sz="0" w:space="0" w:color="auto"/>
        <w:right w:val="none" w:sz="0" w:space="0" w:color="auto"/>
      </w:divBdr>
    </w:div>
    <w:div w:id="184878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C5D3C-F762-4A36-B454-AE464BC5A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1207</Words>
  <Characters>689</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Balode</dc:creator>
  <cp:keywords/>
  <dc:description/>
  <cp:lastModifiedBy>Jeļena Baševska</cp:lastModifiedBy>
  <cp:revision>4</cp:revision>
  <dcterms:created xsi:type="dcterms:W3CDTF">2019-08-02T09:16:00Z</dcterms:created>
  <dcterms:modified xsi:type="dcterms:W3CDTF">2019-08-02T09:25:00Z</dcterms:modified>
</cp:coreProperties>
</file>