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E378" w14:textId="694516E1" w:rsidR="002728F0" w:rsidRPr="00EB1FBF" w:rsidRDefault="002728F0" w:rsidP="00D60D32">
      <w:pPr>
        <w:ind w:right="47" w:firstLine="4110"/>
        <w:jc w:val="right"/>
        <w:rPr>
          <w:rFonts w:ascii="Arial" w:hAnsi="Arial" w:cs="Arial"/>
          <w:i/>
          <w:lang w:val="lv-LV"/>
        </w:rPr>
      </w:pPr>
      <w:r w:rsidRPr="00EB1FBF">
        <w:rPr>
          <w:rFonts w:ascii="Arial" w:hAnsi="Arial" w:cs="Arial"/>
          <w:i/>
          <w:lang w:val="lv-LV"/>
        </w:rPr>
        <w:t>APSTIPRINĀTS</w:t>
      </w:r>
    </w:p>
    <w:p w14:paraId="6FEB989B" w14:textId="186DE837" w:rsidR="002728F0" w:rsidRPr="00EB1FBF" w:rsidRDefault="002728F0" w:rsidP="00D60D32">
      <w:pPr>
        <w:ind w:right="47" w:firstLine="4110"/>
        <w:jc w:val="right"/>
        <w:rPr>
          <w:rFonts w:ascii="Arial" w:hAnsi="Arial" w:cs="Arial"/>
          <w:i/>
          <w:lang w:val="lv-LV"/>
        </w:rPr>
      </w:pPr>
      <w:r w:rsidRPr="00EB1FBF">
        <w:rPr>
          <w:rFonts w:ascii="Arial" w:hAnsi="Arial" w:cs="Arial"/>
          <w:i/>
          <w:lang w:val="lv-LV"/>
        </w:rPr>
        <w:t xml:space="preserve">ar </w:t>
      </w:r>
      <w:r w:rsidR="008578B1" w:rsidRPr="00EB1FBF">
        <w:rPr>
          <w:rFonts w:ascii="Arial" w:hAnsi="Arial" w:cs="Arial"/>
          <w:i/>
          <w:lang w:val="lv-LV"/>
        </w:rPr>
        <w:t xml:space="preserve">VAS “Latvijas dzelzceļš” </w:t>
      </w:r>
      <w:r w:rsidRPr="00EB1FBF">
        <w:rPr>
          <w:rFonts w:ascii="Arial" w:hAnsi="Arial" w:cs="Arial"/>
          <w:i/>
          <w:lang w:val="lv-LV"/>
        </w:rPr>
        <w:t>iepirkuma komisijas</w:t>
      </w:r>
    </w:p>
    <w:p w14:paraId="3C4A713D" w14:textId="1F950A74" w:rsidR="002728F0" w:rsidRPr="00EB1FBF" w:rsidRDefault="002728F0" w:rsidP="00D60D32">
      <w:pPr>
        <w:ind w:right="47" w:firstLine="4110"/>
        <w:jc w:val="right"/>
        <w:rPr>
          <w:rFonts w:ascii="Arial" w:hAnsi="Arial" w:cs="Arial"/>
          <w:i/>
          <w:lang w:val="lv-LV"/>
        </w:rPr>
      </w:pPr>
      <w:r w:rsidRPr="00EB1FBF">
        <w:rPr>
          <w:rFonts w:ascii="Arial" w:hAnsi="Arial" w:cs="Arial"/>
          <w:i/>
          <w:lang w:val="lv-LV"/>
        </w:rPr>
        <w:t xml:space="preserve">2022.gada </w:t>
      </w:r>
      <w:r w:rsidR="00477400" w:rsidRPr="00EB1FBF">
        <w:rPr>
          <w:rFonts w:ascii="Arial" w:hAnsi="Arial" w:cs="Arial"/>
          <w:i/>
          <w:lang w:val="lv-LV"/>
        </w:rPr>
        <w:t>30</w:t>
      </w:r>
      <w:r w:rsidRPr="00EB1FBF">
        <w:rPr>
          <w:rFonts w:ascii="Arial" w:hAnsi="Arial" w:cs="Arial"/>
          <w:i/>
          <w:lang w:val="lv-LV"/>
        </w:rPr>
        <w:t xml:space="preserve">.augusta </w:t>
      </w:r>
      <w:r w:rsidR="00AB7F6A" w:rsidRPr="00EB1FBF">
        <w:rPr>
          <w:rFonts w:ascii="Arial" w:hAnsi="Arial" w:cs="Arial"/>
          <w:i/>
          <w:lang w:val="lv-LV"/>
        </w:rPr>
        <w:t>5.</w:t>
      </w:r>
      <w:r w:rsidRPr="00EB1FBF">
        <w:rPr>
          <w:rFonts w:ascii="Arial" w:hAnsi="Arial" w:cs="Arial"/>
          <w:i/>
          <w:lang w:val="lv-LV"/>
        </w:rPr>
        <w:t>sēdes protokolu</w:t>
      </w:r>
    </w:p>
    <w:p w14:paraId="0EE6FF9D" w14:textId="77777777" w:rsidR="002728F0" w:rsidRPr="00FE6790" w:rsidRDefault="002728F0" w:rsidP="00477400">
      <w:pPr>
        <w:rPr>
          <w:rFonts w:ascii="Arial" w:hAnsi="Arial" w:cs="Arial"/>
          <w:b/>
          <w:color w:val="000000"/>
          <w:sz w:val="22"/>
          <w:szCs w:val="22"/>
          <w:lang w:val="lv-LV"/>
        </w:rPr>
      </w:pPr>
    </w:p>
    <w:p w14:paraId="4675E57C" w14:textId="753978EF" w:rsidR="00B839E3" w:rsidRPr="00FE6790" w:rsidRDefault="008578B1" w:rsidP="00B70186">
      <w:pPr>
        <w:pStyle w:val="Title"/>
        <w:rPr>
          <w:rFonts w:ascii="Arial" w:eastAsiaTheme="minorHAnsi" w:hAnsi="Arial" w:cs="Arial"/>
          <w:b/>
          <w:sz w:val="22"/>
          <w:szCs w:val="22"/>
        </w:rPr>
      </w:pPr>
      <w:r w:rsidRPr="00FE6790">
        <w:rPr>
          <w:rFonts w:ascii="Arial" w:hAnsi="Arial" w:cs="Arial"/>
          <w:b/>
          <w:bCs/>
          <w:sz w:val="22"/>
          <w:szCs w:val="22"/>
        </w:rPr>
        <w:t xml:space="preserve">Sarunu procedūrā ar publikāciju </w:t>
      </w:r>
      <w:r w:rsidR="00015820">
        <w:rPr>
          <w:rFonts w:ascii="Arial" w:hAnsi="Arial" w:cs="Arial"/>
          <w:b/>
          <w:sz w:val="22"/>
          <w:szCs w:val="22"/>
        </w:rPr>
        <w:t>“</w:t>
      </w:r>
      <w:r w:rsidR="00B839E3" w:rsidRPr="00FE6790">
        <w:rPr>
          <w:rFonts w:ascii="Arial" w:hAnsi="Arial" w:cs="Arial"/>
          <w:b/>
          <w:bCs/>
          <w:sz w:val="22"/>
          <w:szCs w:val="22"/>
        </w:rPr>
        <w:t>Dobeles stacijas centralizācijas sistēmas modernizācija</w:t>
      </w:r>
      <w:r w:rsidR="00B839E3" w:rsidRPr="00FE6790">
        <w:rPr>
          <w:rFonts w:ascii="Arial" w:hAnsi="Arial" w:cs="Arial"/>
          <w:b/>
          <w:sz w:val="22"/>
          <w:szCs w:val="22"/>
        </w:rPr>
        <w:t xml:space="preserve">” (iepirkuma </w:t>
      </w:r>
      <w:proofErr w:type="spellStart"/>
      <w:r w:rsidR="00B839E3" w:rsidRPr="00FE6790">
        <w:rPr>
          <w:rFonts w:ascii="Arial" w:hAnsi="Arial" w:cs="Arial"/>
          <w:b/>
          <w:sz w:val="22"/>
          <w:szCs w:val="22"/>
        </w:rPr>
        <w:t>Id.Nr</w:t>
      </w:r>
      <w:proofErr w:type="spellEnd"/>
      <w:r w:rsidR="00B839E3" w:rsidRPr="00FE6790">
        <w:rPr>
          <w:rFonts w:ascii="Arial" w:hAnsi="Arial" w:cs="Arial"/>
          <w:b/>
          <w:sz w:val="22"/>
          <w:szCs w:val="22"/>
        </w:rPr>
        <w:t>. LDZ 2022/33-SPAV)</w:t>
      </w:r>
    </w:p>
    <w:p w14:paraId="33F1B218" w14:textId="19E8C74E" w:rsidR="00B839E3" w:rsidRPr="00B70186" w:rsidRDefault="008578B1" w:rsidP="00B839E3">
      <w:pPr>
        <w:pStyle w:val="Title"/>
        <w:rPr>
          <w:rFonts w:ascii="Arial" w:hAnsi="Arial" w:cs="Arial"/>
          <w:bCs/>
          <w:sz w:val="22"/>
          <w:szCs w:val="22"/>
        </w:rPr>
      </w:pPr>
      <w:r w:rsidRPr="00B70186">
        <w:rPr>
          <w:rFonts w:ascii="Arial" w:hAnsi="Arial" w:cs="Arial"/>
          <w:bCs/>
          <w:sz w:val="22"/>
          <w:szCs w:val="22"/>
        </w:rPr>
        <w:t>(turpmāk – iepirkums)</w:t>
      </w:r>
    </w:p>
    <w:p w14:paraId="1232BBDA" w14:textId="77777777" w:rsidR="008578B1" w:rsidRPr="0062539F" w:rsidRDefault="008578B1" w:rsidP="00B839E3">
      <w:pPr>
        <w:pStyle w:val="Title"/>
        <w:rPr>
          <w:rFonts w:ascii="Arial" w:hAnsi="Arial" w:cs="Arial"/>
          <w:b/>
          <w:sz w:val="22"/>
          <w:szCs w:val="22"/>
        </w:rPr>
      </w:pPr>
    </w:p>
    <w:p w14:paraId="5A4A19B6" w14:textId="42B98DC9" w:rsidR="00B839E3" w:rsidRPr="0062539F" w:rsidRDefault="00D60D32" w:rsidP="00B839E3">
      <w:pPr>
        <w:jc w:val="center"/>
        <w:rPr>
          <w:rFonts w:ascii="Arial" w:hAnsi="Arial" w:cs="Arial"/>
          <w:b/>
          <w:sz w:val="22"/>
          <w:szCs w:val="22"/>
          <w:lang w:val="lv-LV"/>
        </w:rPr>
      </w:pPr>
      <w:r w:rsidRPr="0062539F">
        <w:rPr>
          <w:rFonts w:ascii="Arial" w:hAnsi="Arial" w:cs="Arial"/>
          <w:b/>
          <w:smallCaps/>
          <w:sz w:val="22"/>
          <w:szCs w:val="22"/>
          <w:lang w:val="lv-LV"/>
        </w:rPr>
        <w:t>Skaidrojums</w:t>
      </w:r>
      <w:r w:rsidR="00B839E3" w:rsidRPr="0062539F">
        <w:rPr>
          <w:rFonts w:ascii="Arial" w:hAnsi="Arial" w:cs="Arial"/>
          <w:b/>
          <w:sz w:val="22"/>
          <w:szCs w:val="22"/>
          <w:lang w:val="lv-LV"/>
        </w:rPr>
        <w:t xml:space="preserve"> Nr.</w:t>
      </w:r>
      <w:r w:rsidR="00503420" w:rsidRPr="0062539F">
        <w:rPr>
          <w:rFonts w:ascii="Arial" w:hAnsi="Arial" w:cs="Arial"/>
          <w:b/>
          <w:sz w:val="22"/>
          <w:szCs w:val="22"/>
          <w:lang w:val="lv-LV"/>
        </w:rPr>
        <w:t>4</w:t>
      </w:r>
    </w:p>
    <w:p w14:paraId="529D6A3A" w14:textId="77777777" w:rsidR="002728F0" w:rsidRPr="00FE6790" w:rsidRDefault="002728F0" w:rsidP="002728F0">
      <w:pPr>
        <w:tabs>
          <w:tab w:val="center" w:pos="6979"/>
          <w:tab w:val="left" w:pos="9564"/>
        </w:tabs>
        <w:jc w:val="center"/>
        <w:rPr>
          <w:rFonts w:ascii="Arial" w:hAnsi="Arial" w:cs="Arial"/>
          <w:b/>
          <w:color w:val="000000"/>
          <w:sz w:val="22"/>
          <w:lang w:val="lv-LV"/>
        </w:rPr>
      </w:pPr>
    </w:p>
    <w:tbl>
      <w:tblPr>
        <w:tblStyle w:val="TableGrid"/>
        <w:tblW w:w="9493" w:type="dxa"/>
        <w:jc w:val="center"/>
        <w:tblLook w:val="04A0" w:firstRow="1" w:lastRow="0" w:firstColumn="1" w:lastColumn="0" w:noHBand="0" w:noVBand="1"/>
      </w:tblPr>
      <w:tblGrid>
        <w:gridCol w:w="4761"/>
        <w:gridCol w:w="4732"/>
      </w:tblGrid>
      <w:tr w:rsidR="002728F0" w:rsidRPr="008578B1" w14:paraId="1A783E28" w14:textId="77777777" w:rsidTr="0069408C">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7C0103C4" w14:textId="77777777" w:rsidR="002728F0" w:rsidRPr="008578B1" w:rsidRDefault="002728F0" w:rsidP="00B72436">
            <w:pPr>
              <w:spacing w:before="120"/>
              <w:jc w:val="center"/>
              <w:rPr>
                <w:rFonts w:ascii="Arial" w:eastAsia="Calibri" w:hAnsi="Arial" w:cs="Arial"/>
                <w:b/>
                <w:i/>
                <w:sz w:val="22"/>
                <w:szCs w:val="22"/>
                <w:lang w:val="lv-LV"/>
              </w:rPr>
            </w:pPr>
            <w:bookmarkStart w:id="0" w:name="_Hlk110329419"/>
            <w:r w:rsidRPr="008578B1">
              <w:rPr>
                <w:rFonts w:ascii="Arial" w:eastAsia="Calibri" w:hAnsi="Arial" w:cs="Arial"/>
                <w:b/>
                <w:i/>
                <w:sz w:val="22"/>
                <w:szCs w:val="22"/>
                <w:lang w:val="lv-LV"/>
              </w:rPr>
              <w:t>Jautājums</w:t>
            </w:r>
          </w:p>
        </w:tc>
        <w:tc>
          <w:tcPr>
            <w:tcW w:w="47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A6818" w14:textId="77777777" w:rsidR="002728F0" w:rsidRPr="008578B1" w:rsidRDefault="002728F0" w:rsidP="00B72436">
            <w:pPr>
              <w:spacing w:before="120"/>
              <w:jc w:val="center"/>
              <w:rPr>
                <w:rFonts w:ascii="Arial" w:eastAsia="Calibri" w:hAnsi="Arial" w:cs="Arial"/>
                <w:b/>
                <w:i/>
                <w:sz w:val="22"/>
                <w:szCs w:val="22"/>
                <w:lang w:val="lv-LV"/>
              </w:rPr>
            </w:pPr>
            <w:r w:rsidRPr="008578B1">
              <w:rPr>
                <w:rFonts w:ascii="Arial" w:eastAsia="Calibri" w:hAnsi="Arial" w:cs="Arial"/>
                <w:b/>
                <w:i/>
                <w:sz w:val="22"/>
                <w:szCs w:val="22"/>
                <w:lang w:val="lv-LV"/>
              </w:rPr>
              <w:t>Atbilde</w:t>
            </w:r>
          </w:p>
        </w:tc>
      </w:tr>
      <w:tr w:rsidR="002728F0" w:rsidRPr="00EB1FBF" w14:paraId="5909BAE6" w14:textId="77777777" w:rsidTr="0069408C">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10C257C" w14:textId="7B9F6D82" w:rsidR="00B24CB1" w:rsidRDefault="00B24CB1" w:rsidP="00B24CB1">
            <w:pPr>
              <w:spacing w:before="60" w:after="60"/>
              <w:ind w:firstLine="172"/>
              <w:rPr>
                <w:rFonts w:ascii="Arial" w:hAnsi="Arial" w:cs="Arial"/>
                <w:noProof/>
                <w:sz w:val="22"/>
                <w:szCs w:val="22"/>
                <w:lang w:val="lv-LV" w:eastAsia="en-US"/>
              </w:rPr>
            </w:pPr>
            <w:r>
              <w:rPr>
                <w:rFonts w:ascii="Arial" w:hAnsi="Arial" w:cs="Arial"/>
                <w:noProof/>
                <w:sz w:val="22"/>
                <w:szCs w:val="22"/>
                <w:lang w:val="lv-LV" w:eastAsia="en-US"/>
              </w:rPr>
              <w:t>Atsaucoties uz VAS “Latvijas dzelceļš”, turpmāk – Pasūt’tiājs, nolikuma pielikuma Nr.2 Pasūtītāja prasības, punktu 2.2. Nepieciešamā pieredze:</w:t>
            </w:r>
          </w:p>
          <w:p w14:paraId="2E391615" w14:textId="21EB6C73" w:rsidR="00B24CB1" w:rsidRDefault="00B24CB1" w:rsidP="00B24CB1">
            <w:pPr>
              <w:spacing w:before="60" w:after="60"/>
              <w:ind w:firstLine="314"/>
              <w:rPr>
                <w:rFonts w:ascii="Arial" w:hAnsi="Arial" w:cs="Arial"/>
                <w:i/>
                <w:iCs/>
                <w:sz w:val="22"/>
                <w:szCs w:val="22"/>
                <w:lang w:val="lv-LV" w:eastAsia="en-US"/>
              </w:rPr>
            </w:pPr>
            <w:r>
              <w:rPr>
                <w:rFonts w:ascii="Arial" w:hAnsi="Arial" w:cs="Arial"/>
                <w:sz w:val="22"/>
                <w:szCs w:val="22"/>
                <w:lang w:val="lv-LV" w:eastAsia="en-US"/>
              </w:rPr>
              <w:t>“</w:t>
            </w:r>
            <w:r>
              <w:rPr>
                <w:rFonts w:ascii="Arial" w:hAnsi="Arial" w:cs="Arial"/>
                <w:i/>
                <w:iCs/>
                <w:sz w:val="22"/>
                <w:szCs w:val="22"/>
                <w:lang w:val="lv-LV" w:eastAsia="en-US"/>
              </w:rPr>
              <w:t>Visam piedāvātājam aprīkojumam – gan veselām sistēmām, gan atsevišķām ierīcēm un elementiem – papildus atbilstībai tehniskajām specifikācijām jāatb</w:t>
            </w:r>
            <w:r w:rsidR="00477400">
              <w:rPr>
                <w:rFonts w:ascii="Arial" w:hAnsi="Arial" w:cs="Arial"/>
                <w:i/>
                <w:iCs/>
                <w:sz w:val="22"/>
                <w:szCs w:val="22"/>
                <w:lang w:val="lv-LV" w:eastAsia="en-US"/>
              </w:rPr>
              <w:t>i</w:t>
            </w:r>
            <w:r>
              <w:rPr>
                <w:rFonts w:ascii="Arial" w:hAnsi="Arial" w:cs="Arial"/>
                <w:i/>
                <w:iCs/>
                <w:sz w:val="22"/>
                <w:szCs w:val="22"/>
                <w:lang w:val="lv-LV" w:eastAsia="en-US"/>
              </w:rPr>
              <w:t>lst arī šādām prasībām:</w:t>
            </w:r>
          </w:p>
          <w:p w14:paraId="7BB0DA4F" w14:textId="2C6D9CA8" w:rsidR="00B24CB1" w:rsidRPr="00B24CB1" w:rsidRDefault="00B24CB1" w:rsidP="00B24CB1">
            <w:pPr>
              <w:pStyle w:val="ListParagraph"/>
              <w:numPr>
                <w:ilvl w:val="0"/>
                <w:numId w:val="6"/>
              </w:numPr>
              <w:spacing w:before="60" w:after="60"/>
              <w:rPr>
                <w:rFonts w:ascii="Arial" w:hAnsi="Arial" w:cs="Arial"/>
                <w:i/>
                <w:iCs/>
                <w:sz w:val="22"/>
                <w:szCs w:val="22"/>
                <w:lang w:val="lv-LV"/>
              </w:rPr>
            </w:pPr>
            <w:r>
              <w:rPr>
                <w:rFonts w:ascii="Arial" w:hAnsi="Arial" w:cs="Arial"/>
                <w:i/>
                <w:iCs/>
                <w:sz w:val="22"/>
                <w:szCs w:val="22"/>
                <w:lang w:val="lv-LV"/>
              </w:rPr>
              <w:t>Tāda paša veida centralizācijas sistēmai, kuru paredzēts uzstādīt, pārbaudīt un nodot ekspluatācijā projekta ietvaros jābūt iedarbinātai (ieviestai ekspluatācijā) vismaz trijās Dobeles stacijai līdzīgās stacijās, kuras atrodas ES dzelzceļa tīkla maģistrālajās līnijās.”</w:t>
            </w:r>
          </w:p>
          <w:p w14:paraId="041FA3E3" w14:textId="4608439D" w:rsidR="00B24CB1" w:rsidRDefault="00B24CB1" w:rsidP="00B24CB1">
            <w:pPr>
              <w:spacing w:before="60" w:after="60"/>
              <w:ind w:firstLine="172"/>
              <w:rPr>
                <w:rFonts w:ascii="Arial" w:hAnsi="Arial" w:cs="Arial"/>
                <w:sz w:val="22"/>
                <w:szCs w:val="22"/>
                <w:lang w:val="lv-LV"/>
              </w:rPr>
            </w:pPr>
            <w:r>
              <w:rPr>
                <w:rFonts w:ascii="Arial" w:hAnsi="Arial" w:cs="Arial"/>
                <w:sz w:val="22"/>
                <w:szCs w:val="22"/>
                <w:lang w:val="lv-LV"/>
              </w:rPr>
              <w:t xml:space="preserve">Šobrīd </w:t>
            </w:r>
            <w:r w:rsidRPr="00B24CB1">
              <w:rPr>
                <w:rFonts w:ascii="Arial" w:hAnsi="Arial" w:cs="Arial"/>
                <w:sz w:val="22"/>
                <w:szCs w:val="22"/>
                <w:lang w:val="lv-LV"/>
              </w:rPr>
              <w:t>XX</w:t>
            </w:r>
            <w:r w:rsidRPr="00B24CB1">
              <w:rPr>
                <w:rFonts w:ascii="Arial" w:hAnsi="Arial" w:cs="Arial"/>
                <w:sz w:val="22"/>
                <w:szCs w:val="22"/>
                <w:vertAlign w:val="superscript"/>
                <w:lang w:val="lv-LV"/>
              </w:rPr>
              <w:t>1</w:t>
            </w:r>
            <w:r>
              <w:rPr>
                <w:rFonts w:ascii="Arial" w:hAnsi="Arial" w:cs="Arial"/>
                <w:sz w:val="22"/>
                <w:szCs w:val="22"/>
                <w:lang w:val="lv-LV"/>
              </w:rPr>
              <w:t xml:space="preserve"> veiksmīgi realizēto projektu sarakstā ir viens objekts, kas atrodas ES dzelzceļa tīkla maģistrālajās līnijās, tā ir stacija XX</w:t>
            </w:r>
            <w:r w:rsidRPr="00B24CB1">
              <w:rPr>
                <w:rFonts w:ascii="Arial" w:hAnsi="Arial" w:cs="Arial"/>
                <w:sz w:val="22"/>
                <w:szCs w:val="22"/>
                <w:vertAlign w:val="superscript"/>
                <w:lang w:val="lv-LV"/>
              </w:rPr>
              <w:t>1</w:t>
            </w:r>
            <w:r>
              <w:rPr>
                <w:rFonts w:ascii="Arial" w:hAnsi="Arial" w:cs="Arial"/>
                <w:sz w:val="22"/>
                <w:szCs w:val="22"/>
                <w:lang w:val="lv-LV"/>
              </w:rPr>
              <w:t>. Projekta ietvaros ir uzstādīta XX (nosaukums)</w:t>
            </w:r>
            <w:r w:rsidRPr="00B24CB1">
              <w:rPr>
                <w:rFonts w:ascii="Arial" w:hAnsi="Arial" w:cs="Arial"/>
                <w:sz w:val="22"/>
                <w:szCs w:val="22"/>
                <w:vertAlign w:val="superscript"/>
                <w:lang w:val="lv-LV"/>
              </w:rPr>
              <w:t>1</w:t>
            </w:r>
            <w:r>
              <w:rPr>
                <w:rFonts w:ascii="Arial" w:hAnsi="Arial" w:cs="Arial"/>
                <w:sz w:val="22"/>
                <w:szCs w:val="22"/>
                <w:lang w:val="lv-LV"/>
              </w:rPr>
              <w:t>, stacijā ir XX</w:t>
            </w:r>
            <w:r w:rsidRPr="00B24CB1">
              <w:rPr>
                <w:rFonts w:ascii="Arial" w:hAnsi="Arial" w:cs="Arial"/>
                <w:sz w:val="22"/>
                <w:szCs w:val="22"/>
                <w:vertAlign w:val="superscript"/>
                <w:lang w:val="lv-LV"/>
              </w:rPr>
              <w:t>1</w:t>
            </w:r>
            <w:r>
              <w:rPr>
                <w:rFonts w:ascii="Arial" w:hAnsi="Arial" w:cs="Arial"/>
                <w:sz w:val="22"/>
                <w:szCs w:val="22"/>
                <w:lang w:val="lv-LV"/>
              </w:rPr>
              <w:t xml:space="preserve"> pārmijas un tā ir pilnīgā nodota ekspluatācijā, kas ir XX</w:t>
            </w:r>
            <w:r w:rsidRPr="00B24CB1">
              <w:rPr>
                <w:rFonts w:ascii="Arial" w:hAnsi="Arial" w:cs="Arial"/>
                <w:sz w:val="22"/>
                <w:szCs w:val="22"/>
                <w:vertAlign w:val="superscript"/>
                <w:lang w:val="lv-LV"/>
              </w:rPr>
              <w:t>1</w:t>
            </w:r>
            <w:r>
              <w:rPr>
                <w:rFonts w:ascii="Arial" w:hAnsi="Arial" w:cs="Arial"/>
                <w:sz w:val="22"/>
                <w:szCs w:val="22"/>
                <w:lang w:val="lv-LV"/>
              </w:rPr>
              <w:t xml:space="preserve"> reizes vairāk pārmiju, kā Dobelē.</w:t>
            </w:r>
          </w:p>
          <w:p w14:paraId="4616B63A" w14:textId="332B528F" w:rsidR="00B24CB1" w:rsidRDefault="00B24CB1" w:rsidP="00B24CB1">
            <w:pPr>
              <w:spacing w:before="60" w:after="60"/>
              <w:ind w:firstLine="172"/>
              <w:rPr>
                <w:rFonts w:ascii="Arial" w:hAnsi="Arial" w:cs="Arial"/>
                <w:sz w:val="22"/>
                <w:szCs w:val="22"/>
                <w:lang w:val="lv-LV"/>
              </w:rPr>
            </w:pPr>
            <w:r>
              <w:rPr>
                <w:rFonts w:ascii="Arial" w:hAnsi="Arial" w:cs="Arial"/>
                <w:sz w:val="22"/>
                <w:szCs w:val="22"/>
                <w:lang w:val="lv-LV"/>
              </w:rPr>
              <w:t>Turklāt XX</w:t>
            </w:r>
            <w:r w:rsidRPr="00B24CB1">
              <w:rPr>
                <w:rFonts w:ascii="Arial" w:hAnsi="Arial" w:cs="Arial"/>
                <w:sz w:val="22"/>
                <w:szCs w:val="22"/>
                <w:vertAlign w:val="superscript"/>
                <w:lang w:val="lv-LV"/>
              </w:rPr>
              <w:t>1</w:t>
            </w:r>
            <w:r>
              <w:rPr>
                <w:rFonts w:ascii="Arial" w:hAnsi="Arial" w:cs="Arial"/>
                <w:sz w:val="22"/>
                <w:szCs w:val="22"/>
                <w:lang w:val="lv-LV"/>
              </w:rPr>
              <w:t>sistēma ir sertificēta Eiropas Savienībā (XX</w:t>
            </w:r>
            <w:r w:rsidRPr="00B24CB1">
              <w:rPr>
                <w:rFonts w:ascii="Arial" w:hAnsi="Arial" w:cs="Arial"/>
                <w:sz w:val="22"/>
                <w:szCs w:val="22"/>
                <w:vertAlign w:val="superscript"/>
                <w:lang w:val="lv-LV"/>
              </w:rPr>
              <w:t>1</w:t>
            </w:r>
            <w:r>
              <w:rPr>
                <w:rFonts w:ascii="Arial" w:hAnsi="Arial" w:cs="Arial"/>
                <w:sz w:val="22"/>
                <w:szCs w:val="22"/>
                <w:lang w:val="lv-LV"/>
              </w:rPr>
              <w:t>) un atbilst XX</w:t>
            </w:r>
            <w:r w:rsidRPr="00B24CB1">
              <w:rPr>
                <w:rFonts w:ascii="Arial" w:hAnsi="Arial" w:cs="Arial"/>
                <w:sz w:val="22"/>
                <w:szCs w:val="22"/>
                <w:vertAlign w:val="superscript"/>
                <w:lang w:val="lv-LV"/>
              </w:rPr>
              <w:t>1</w:t>
            </w:r>
            <w:r>
              <w:rPr>
                <w:rFonts w:ascii="Arial" w:hAnsi="Arial" w:cs="Arial"/>
                <w:sz w:val="22"/>
                <w:szCs w:val="22"/>
                <w:lang w:val="lv-LV"/>
              </w:rPr>
              <w:t>drošības līmenim (vienīgais XX</w:t>
            </w:r>
            <w:r w:rsidRPr="00B24CB1">
              <w:rPr>
                <w:rFonts w:ascii="Arial" w:hAnsi="Arial" w:cs="Arial"/>
                <w:sz w:val="22"/>
                <w:szCs w:val="22"/>
                <w:vertAlign w:val="superscript"/>
                <w:lang w:val="lv-LV"/>
              </w:rPr>
              <w:t>1</w:t>
            </w:r>
            <w:r>
              <w:rPr>
                <w:rFonts w:ascii="Arial" w:hAnsi="Arial" w:cs="Arial"/>
                <w:sz w:val="22"/>
                <w:szCs w:val="22"/>
                <w:lang w:val="lv-LV"/>
              </w:rPr>
              <w:t>, kam ir šāds sertifikāts). Kaimiņvalsts I</w:t>
            </w:r>
            <w:r w:rsidR="0069408C">
              <w:rPr>
                <w:rFonts w:ascii="Arial" w:hAnsi="Arial" w:cs="Arial"/>
                <w:sz w:val="22"/>
                <w:szCs w:val="22"/>
                <w:lang w:val="lv-LV"/>
              </w:rPr>
              <w:t>g</w:t>
            </w:r>
            <w:r>
              <w:rPr>
                <w:rFonts w:ascii="Arial" w:hAnsi="Arial" w:cs="Arial"/>
                <w:sz w:val="22"/>
                <w:szCs w:val="22"/>
                <w:lang w:val="lv-LV"/>
              </w:rPr>
              <w:t>aunij</w:t>
            </w:r>
            <w:r w:rsidR="0069408C">
              <w:rPr>
                <w:rFonts w:ascii="Arial" w:hAnsi="Arial" w:cs="Arial"/>
                <w:sz w:val="22"/>
                <w:szCs w:val="22"/>
                <w:lang w:val="lv-LV"/>
              </w:rPr>
              <w:t xml:space="preserve">as </w:t>
            </w:r>
            <w:r>
              <w:rPr>
                <w:rFonts w:ascii="Arial" w:hAnsi="Arial" w:cs="Arial"/>
                <w:sz w:val="22"/>
                <w:szCs w:val="22"/>
                <w:lang w:val="lv-LV"/>
              </w:rPr>
              <w:t>dzelzceļš (</w:t>
            </w:r>
            <w:proofErr w:type="spellStart"/>
            <w:r>
              <w:rPr>
                <w:rFonts w:ascii="Arial" w:hAnsi="Arial" w:cs="Arial"/>
                <w:sz w:val="22"/>
                <w:szCs w:val="22"/>
                <w:lang w:val="lv-LV"/>
              </w:rPr>
              <w:t>Eesti</w:t>
            </w:r>
            <w:proofErr w:type="spellEnd"/>
            <w:r>
              <w:rPr>
                <w:rFonts w:ascii="Arial" w:hAnsi="Arial" w:cs="Arial"/>
                <w:sz w:val="22"/>
                <w:szCs w:val="22"/>
                <w:lang w:val="lv-LV"/>
              </w:rPr>
              <w:t xml:space="preserve"> </w:t>
            </w:r>
            <w:proofErr w:type="spellStart"/>
            <w:r>
              <w:rPr>
                <w:rFonts w:ascii="Arial" w:hAnsi="Arial" w:cs="Arial"/>
                <w:sz w:val="22"/>
                <w:szCs w:val="22"/>
                <w:lang w:val="lv-LV"/>
              </w:rPr>
              <w:t>Raudtee</w:t>
            </w:r>
            <w:proofErr w:type="spellEnd"/>
            <w:r>
              <w:rPr>
                <w:rFonts w:ascii="Arial" w:hAnsi="Arial" w:cs="Arial"/>
                <w:sz w:val="22"/>
                <w:szCs w:val="22"/>
                <w:lang w:val="lv-LV"/>
              </w:rPr>
              <w:t>) pērk mik</w:t>
            </w:r>
            <w:r w:rsidR="0069408C">
              <w:rPr>
                <w:rFonts w:ascii="Arial" w:hAnsi="Arial" w:cs="Arial"/>
                <w:sz w:val="22"/>
                <w:szCs w:val="22"/>
                <w:lang w:val="lv-LV"/>
              </w:rPr>
              <w:t>r</w:t>
            </w:r>
            <w:r>
              <w:rPr>
                <w:rFonts w:ascii="Arial" w:hAnsi="Arial" w:cs="Arial"/>
                <w:sz w:val="22"/>
                <w:szCs w:val="22"/>
                <w:lang w:val="lv-LV"/>
              </w:rPr>
              <w:t>opr</w:t>
            </w:r>
            <w:r w:rsidR="0069408C">
              <w:rPr>
                <w:rFonts w:ascii="Arial" w:hAnsi="Arial" w:cs="Arial"/>
                <w:sz w:val="22"/>
                <w:szCs w:val="22"/>
                <w:lang w:val="lv-LV"/>
              </w:rPr>
              <w:t>o</w:t>
            </w:r>
            <w:r>
              <w:rPr>
                <w:rFonts w:ascii="Arial" w:hAnsi="Arial" w:cs="Arial"/>
                <w:sz w:val="22"/>
                <w:szCs w:val="22"/>
                <w:lang w:val="lv-LV"/>
              </w:rPr>
              <w:t>cesoru sistēmas (..)</w:t>
            </w:r>
            <w:r w:rsidRPr="00B24CB1">
              <w:rPr>
                <w:rFonts w:ascii="Arial" w:hAnsi="Arial" w:cs="Arial"/>
                <w:sz w:val="22"/>
                <w:szCs w:val="22"/>
                <w:vertAlign w:val="superscript"/>
                <w:lang w:val="lv-LV"/>
              </w:rPr>
              <w:t>1</w:t>
            </w:r>
            <w:r>
              <w:rPr>
                <w:rFonts w:ascii="Arial" w:hAnsi="Arial" w:cs="Arial"/>
                <w:sz w:val="22"/>
                <w:szCs w:val="22"/>
                <w:vertAlign w:val="superscript"/>
                <w:lang w:val="lv-LV"/>
              </w:rPr>
              <w:t xml:space="preserve"> </w:t>
            </w:r>
            <w:r>
              <w:rPr>
                <w:rFonts w:ascii="Arial" w:hAnsi="Arial" w:cs="Arial"/>
                <w:sz w:val="22"/>
                <w:szCs w:val="22"/>
                <w:lang w:val="lv-LV"/>
              </w:rPr>
              <w:t>.</w:t>
            </w:r>
          </w:p>
          <w:p w14:paraId="57798674" w14:textId="12C70EC6" w:rsidR="00B24CB1" w:rsidRPr="00B24CB1" w:rsidRDefault="00B24CB1" w:rsidP="00B24CB1">
            <w:pPr>
              <w:spacing w:before="60" w:after="60"/>
              <w:ind w:firstLine="172"/>
              <w:rPr>
                <w:rFonts w:ascii="Arial" w:hAnsi="Arial" w:cs="Arial"/>
                <w:sz w:val="22"/>
                <w:szCs w:val="22"/>
                <w:lang w:val="lv-LV"/>
              </w:rPr>
            </w:pPr>
            <w:r>
              <w:rPr>
                <w:rFonts w:ascii="Arial" w:hAnsi="Arial" w:cs="Arial"/>
                <w:sz w:val="22"/>
                <w:szCs w:val="22"/>
                <w:lang w:val="lv-LV"/>
              </w:rPr>
              <w:t xml:space="preserve">Līdz ar to </w:t>
            </w:r>
            <w:r w:rsidR="0069408C">
              <w:rPr>
                <w:rFonts w:ascii="Arial" w:hAnsi="Arial" w:cs="Arial"/>
                <w:sz w:val="22"/>
                <w:szCs w:val="22"/>
                <w:lang w:val="lv-LV"/>
              </w:rPr>
              <w:t>XX</w:t>
            </w:r>
            <w:r w:rsidR="0069408C" w:rsidRPr="00B24CB1">
              <w:rPr>
                <w:rFonts w:ascii="Arial" w:hAnsi="Arial" w:cs="Arial"/>
                <w:sz w:val="22"/>
                <w:szCs w:val="22"/>
                <w:vertAlign w:val="superscript"/>
                <w:lang w:val="lv-LV"/>
              </w:rPr>
              <w:t>1</w:t>
            </w:r>
            <w:r w:rsidR="0069408C">
              <w:rPr>
                <w:rFonts w:ascii="Arial" w:hAnsi="Arial" w:cs="Arial"/>
                <w:sz w:val="22"/>
                <w:szCs w:val="22"/>
                <w:vertAlign w:val="superscript"/>
                <w:lang w:val="lv-LV"/>
              </w:rPr>
              <w:t xml:space="preserve"> </w:t>
            </w:r>
            <w:r w:rsidR="0069408C">
              <w:rPr>
                <w:rFonts w:ascii="Arial" w:hAnsi="Arial" w:cs="Arial"/>
                <w:sz w:val="22"/>
                <w:szCs w:val="22"/>
                <w:lang w:val="lv-LV"/>
              </w:rPr>
              <w:t>pieredze pēc darbu apjoma ir atbilstoša nolikuma prasībām un pierāda XX</w:t>
            </w:r>
            <w:r w:rsidR="0069408C" w:rsidRPr="00B24CB1">
              <w:rPr>
                <w:rFonts w:ascii="Arial" w:hAnsi="Arial" w:cs="Arial"/>
                <w:sz w:val="22"/>
                <w:szCs w:val="22"/>
                <w:vertAlign w:val="superscript"/>
                <w:lang w:val="lv-LV"/>
              </w:rPr>
              <w:t>1</w:t>
            </w:r>
            <w:r w:rsidR="0069408C">
              <w:rPr>
                <w:rFonts w:ascii="Arial" w:hAnsi="Arial" w:cs="Arial"/>
                <w:sz w:val="22"/>
                <w:szCs w:val="22"/>
                <w:lang w:val="lv-LV"/>
              </w:rPr>
              <w:t xml:space="preserve"> iekārtu atbilstību ES standartiem. (..)</w:t>
            </w:r>
            <w:r w:rsidR="0069408C" w:rsidRPr="0069408C">
              <w:rPr>
                <w:rFonts w:ascii="Arial" w:hAnsi="Arial" w:cs="Arial"/>
                <w:sz w:val="22"/>
                <w:szCs w:val="22"/>
                <w:vertAlign w:val="superscript"/>
                <w:lang w:val="lv-LV"/>
              </w:rPr>
              <w:t>1</w:t>
            </w:r>
          </w:p>
          <w:p w14:paraId="6DB46718" w14:textId="0E7F1C35" w:rsidR="002728F0" w:rsidRDefault="0069408C" w:rsidP="0069408C">
            <w:pPr>
              <w:spacing w:before="60" w:after="60"/>
              <w:ind w:firstLine="172"/>
              <w:rPr>
                <w:rFonts w:ascii="Arial" w:hAnsi="Arial" w:cs="Arial"/>
                <w:sz w:val="22"/>
                <w:szCs w:val="22"/>
                <w:lang w:val="lv-LV" w:eastAsia="en-US"/>
              </w:rPr>
            </w:pPr>
            <w:r>
              <w:rPr>
                <w:rFonts w:ascii="Arial" w:hAnsi="Arial" w:cs="Arial"/>
                <w:sz w:val="22"/>
                <w:szCs w:val="22"/>
                <w:lang w:val="lv-LV" w:eastAsia="en-US"/>
              </w:rPr>
              <w:t xml:space="preserve">Diemžēl esošā nolikuma pielikums Nr.2 Pasūtītāja prasības, punkts 2.2. liedz </w:t>
            </w:r>
            <w:r>
              <w:rPr>
                <w:rFonts w:ascii="Arial" w:hAnsi="Arial" w:cs="Arial"/>
                <w:sz w:val="22"/>
                <w:szCs w:val="22"/>
                <w:lang w:val="lv-LV"/>
              </w:rPr>
              <w:t>XX</w:t>
            </w:r>
            <w:r w:rsidRPr="00B24CB1">
              <w:rPr>
                <w:rFonts w:ascii="Arial" w:hAnsi="Arial" w:cs="Arial"/>
                <w:sz w:val="22"/>
                <w:szCs w:val="22"/>
                <w:vertAlign w:val="superscript"/>
                <w:lang w:val="lv-LV"/>
              </w:rPr>
              <w:t>1</w:t>
            </w:r>
            <w:r>
              <w:rPr>
                <w:rFonts w:ascii="Arial" w:hAnsi="Arial" w:cs="Arial"/>
                <w:sz w:val="22"/>
                <w:szCs w:val="22"/>
                <w:vertAlign w:val="superscript"/>
                <w:lang w:val="lv-LV"/>
              </w:rPr>
              <w:t xml:space="preserve"> </w:t>
            </w:r>
            <w:r>
              <w:rPr>
                <w:rFonts w:ascii="Arial" w:hAnsi="Arial" w:cs="Arial"/>
                <w:sz w:val="22"/>
                <w:szCs w:val="22"/>
                <w:lang w:val="lv-LV" w:eastAsia="en-US"/>
              </w:rPr>
              <w:t>dalību konkursā.</w:t>
            </w:r>
          </w:p>
          <w:p w14:paraId="3D69D00E" w14:textId="4B5251CC" w:rsidR="0069408C" w:rsidRDefault="0069408C" w:rsidP="0069408C">
            <w:pPr>
              <w:spacing w:before="60" w:after="60"/>
              <w:ind w:firstLine="172"/>
              <w:rPr>
                <w:rFonts w:ascii="Arial" w:hAnsi="Arial" w:cs="Arial"/>
                <w:sz w:val="22"/>
                <w:szCs w:val="22"/>
                <w:lang w:val="lv-LV" w:eastAsia="en-US"/>
              </w:rPr>
            </w:pPr>
            <w:r>
              <w:rPr>
                <w:rFonts w:ascii="Arial" w:hAnsi="Arial" w:cs="Arial"/>
                <w:sz w:val="22"/>
                <w:szCs w:val="22"/>
                <w:lang w:val="lv-LV" w:eastAsia="en-US"/>
              </w:rPr>
              <w:t>Uzskatām, ka šāda prasība var tika mainīta, lai uzlabotu konkursu un atļautu arī tādi</w:t>
            </w:r>
            <w:r w:rsidR="00503420">
              <w:rPr>
                <w:rFonts w:ascii="Arial" w:hAnsi="Arial" w:cs="Arial"/>
                <w:sz w:val="22"/>
                <w:szCs w:val="22"/>
                <w:lang w:val="lv-LV" w:eastAsia="en-US"/>
              </w:rPr>
              <w:t>e</w:t>
            </w:r>
            <w:r>
              <w:rPr>
                <w:rFonts w:ascii="Arial" w:hAnsi="Arial" w:cs="Arial"/>
                <w:sz w:val="22"/>
                <w:szCs w:val="22"/>
                <w:lang w:val="lv-LV" w:eastAsia="en-US"/>
              </w:rPr>
              <w:t>m ražotājiem kā</w:t>
            </w:r>
            <w:r>
              <w:rPr>
                <w:rFonts w:ascii="Arial" w:hAnsi="Arial" w:cs="Arial"/>
                <w:sz w:val="22"/>
                <w:szCs w:val="22"/>
                <w:lang w:val="lv-LV"/>
              </w:rPr>
              <w:t xml:space="preserve"> XX</w:t>
            </w:r>
            <w:r w:rsidRPr="00B24CB1">
              <w:rPr>
                <w:rFonts w:ascii="Arial" w:hAnsi="Arial" w:cs="Arial"/>
                <w:sz w:val="22"/>
                <w:szCs w:val="22"/>
                <w:vertAlign w:val="superscript"/>
                <w:lang w:val="lv-LV"/>
              </w:rPr>
              <w:t>1</w:t>
            </w:r>
            <w:r>
              <w:rPr>
                <w:rFonts w:ascii="Arial" w:hAnsi="Arial" w:cs="Arial"/>
                <w:sz w:val="22"/>
                <w:szCs w:val="22"/>
                <w:lang w:val="lv-LV" w:eastAsia="en-US"/>
              </w:rPr>
              <w:t xml:space="preserve"> piedāvāt savus produktus par konkurējošu cenu VAS “Latvijas dzelzceļš” projektos.</w:t>
            </w:r>
          </w:p>
          <w:p w14:paraId="5D65E734" w14:textId="643B7944" w:rsidR="00FC6286" w:rsidRDefault="00FC6286" w:rsidP="00B24CB1">
            <w:pPr>
              <w:spacing w:before="60" w:after="60"/>
              <w:ind w:firstLine="172"/>
              <w:rPr>
                <w:rFonts w:ascii="Arial" w:hAnsi="Arial" w:cs="Arial"/>
                <w:sz w:val="22"/>
                <w:szCs w:val="22"/>
                <w:lang w:val="lv-LV" w:eastAsia="en-US"/>
              </w:rPr>
            </w:pPr>
            <w:r>
              <w:rPr>
                <w:rFonts w:ascii="Arial" w:hAnsi="Arial" w:cs="Arial"/>
                <w:sz w:val="22"/>
                <w:szCs w:val="22"/>
                <w:lang w:val="lv-LV" w:eastAsia="en-US"/>
              </w:rPr>
              <w:t>Tāpēc lūdzam VAS “Latvijas dzelzceļš” izvērtēt iespēju mainīt prasību formulējumu un izteikt 2.2.punktu citā redakcijā, piemēram:</w:t>
            </w:r>
          </w:p>
          <w:p w14:paraId="35E6D81B" w14:textId="77777777" w:rsidR="00FC6286" w:rsidRDefault="00FC6286" w:rsidP="008E7316">
            <w:pPr>
              <w:spacing w:before="60" w:after="60"/>
              <w:rPr>
                <w:rFonts w:ascii="Arial" w:hAnsi="Arial" w:cs="Arial"/>
                <w:sz w:val="22"/>
                <w:szCs w:val="22"/>
                <w:lang w:val="lv-LV" w:eastAsia="en-US"/>
              </w:rPr>
            </w:pPr>
            <w:r>
              <w:rPr>
                <w:rFonts w:ascii="Arial" w:hAnsi="Arial" w:cs="Arial"/>
                <w:sz w:val="22"/>
                <w:szCs w:val="22"/>
                <w:lang w:val="lv-LV" w:eastAsia="en-US"/>
              </w:rPr>
              <w:lastRenderedPageBreak/>
              <w:t>Variants Nr.1</w:t>
            </w:r>
          </w:p>
          <w:p w14:paraId="3D766D84" w14:textId="650E2786" w:rsidR="00FC6286" w:rsidRDefault="00FC6286" w:rsidP="008E7316">
            <w:pPr>
              <w:spacing w:before="60" w:after="60"/>
              <w:rPr>
                <w:rFonts w:ascii="Arial" w:hAnsi="Arial" w:cs="Arial"/>
                <w:i/>
                <w:iCs/>
                <w:sz w:val="22"/>
                <w:szCs w:val="22"/>
                <w:lang w:val="lv-LV" w:eastAsia="en-US"/>
              </w:rPr>
            </w:pPr>
            <w:r>
              <w:rPr>
                <w:rFonts w:ascii="Arial" w:hAnsi="Arial" w:cs="Arial"/>
                <w:sz w:val="22"/>
                <w:szCs w:val="22"/>
                <w:lang w:val="lv-LV" w:eastAsia="en-US"/>
              </w:rPr>
              <w:t>“</w:t>
            </w:r>
            <w:r>
              <w:rPr>
                <w:rFonts w:ascii="Arial" w:hAnsi="Arial" w:cs="Arial"/>
                <w:i/>
                <w:iCs/>
                <w:sz w:val="22"/>
                <w:szCs w:val="22"/>
                <w:lang w:val="lv-LV" w:eastAsia="en-US"/>
              </w:rPr>
              <w:t>Visam piedāvāt</w:t>
            </w:r>
            <w:r w:rsidR="00503420">
              <w:rPr>
                <w:rFonts w:ascii="Arial" w:hAnsi="Arial" w:cs="Arial"/>
                <w:i/>
                <w:iCs/>
                <w:sz w:val="22"/>
                <w:szCs w:val="22"/>
                <w:lang w:val="lv-LV" w:eastAsia="en-US"/>
              </w:rPr>
              <w:t>a</w:t>
            </w:r>
            <w:r>
              <w:rPr>
                <w:rFonts w:ascii="Arial" w:hAnsi="Arial" w:cs="Arial"/>
                <w:i/>
                <w:iCs/>
                <w:sz w:val="22"/>
                <w:szCs w:val="22"/>
                <w:lang w:val="lv-LV" w:eastAsia="en-US"/>
              </w:rPr>
              <w:t>jam aprīkojumam – gan veselām sistēmām, gan atsevišķām ierīcēm un elementiem – papildus atbilstībai tehniskajām specifikācijām jāatbilst arī šādām prasībām:</w:t>
            </w:r>
          </w:p>
          <w:p w14:paraId="4AD489D0" w14:textId="01C7B241" w:rsidR="00FC6286" w:rsidRDefault="00FC6286" w:rsidP="00FC6286">
            <w:pPr>
              <w:pStyle w:val="ListParagraph"/>
              <w:numPr>
                <w:ilvl w:val="0"/>
                <w:numId w:val="5"/>
              </w:numPr>
              <w:spacing w:before="60" w:after="60"/>
              <w:rPr>
                <w:rFonts w:ascii="Arial" w:hAnsi="Arial" w:cs="Arial"/>
                <w:i/>
                <w:iCs/>
                <w:sz w:val="22"/>
                <w:szCs w:val="22"/>
                <w:lang w:val="lv-LV"/>
              </w:rPr>
            </w:pPr>
            <w:r>
              <w:rPr>
                <w:rFonts w:ascii="Arial" w:hAnsi="Arial" w:cs="Arial"/>
                <w:i/>
                <w:iCs/>
                <w:sz w:val="22"/>
                <w:szCs w:val="22"/>
                <w:lang w:val="lv-LV"/>
              </w:rPr>
              <w:t>tāda paša veida centralizācijas sistēmai, kuru paredzēts uzstādīt, pārbaudīt un nodot eksplu</w:t>
            </w:r>
            <w:r w:rsidR="00503420">
              <w:rPr>
                <w:rFonts w:ascii="Arial" w:hAnsi="Arial" w:cs="Arial"/>
                <w:i/>
                <w:iCs/>
                <w:sz w:val="22"/>
                <w:szCs w:val="22"/>
                <w:lang w:val="lv-LV"/>
              </w:rPr>
              <w:t>a</w:t>
            </w:r>
            <w:r>
              <w:rPr>
                <w:rFonts w:ascii="Arial" w:hAnsi="Arial" w:cs="Arial"/>
                <w:i/>
                <w:iCs/>
                <w:sz w:val="22"/>
                <w:szCs w:val="22"/>
                <w:lang w:val="lv-LV"/>
              </w:rPr>
              <w:t>tācijā projekta ietvaros jābūt iedarbinātai (iev</w:t>
            </w:r>
            <w:r w:rsidR="00503420">
              <w:rPr>
                <w:rFonts w:ascii="Arial" w:hAnsi="Arial" w:cs="Arial"/>
                <w:i/>
                <w:iCs/>
                <w:sz w:val="22"/>
                <w:szCs w:val="22"/>
                <w:lang w:val="lv-LV"/>
              </w:rPr>
              <w:t>ie</w:t>
            </w:r>
            <w:r>
              <w:rPr>
                <w:rFonts w:ascii="Arial" w:hAnsi="Arial" w:cs="Arial"/>
                <w:i/>
                <w:iCs/>
                <w:sz w:val="22"/>
                <w:szCs w:val="22"/>
                <w:lang w:val="lv-LV"/>
              </w:rPr>
              <w:t>stai ekspluatācijā) vismaz trijās Dobeles stacijai līdzīgas stacijās, no kurām vismaz viena atrodas Eiropas Savienībā un divas var atrasties arī Eiropas Savienības kandidātvalsts dzelzceļa tīkla maģistrālajās līnijās.”</w:t>
            </w:r>
          </w:p>
          <w:p w14:paraId="7345FBDD" w14:textId="41E964F0" w:rsidR="00FC6286" w:rsidRDefault="00FC6286" w:rsidP="00FC6286">
            <w:pPr>
              <w:spacing w:before="60" w:after="60"/>
              <w:rPr>
                <w:rFonts w:ascii="Arial" w:hAnsi="Arial" w:cs="Arial"/>
                <w:sz w:val="22"/>
                <w:szCs w:val="22"/>
                <w:lang w:val="lv-LV"/>
              </w:rPr>
            </w:pPr>
            <w:r>
              <w:rPr>
                <w:rFonts w:ascii="Arial" w:hAnsi="Arial" w:cs="Arial"/>
                <w:sz w:val="22"/>
                <w:szCs w:val="22"/>
                <w:lang w:val="lv-LV"/>
              </w:rPr>
              <w:t>Vai</w:t>
            </w:r>
          </w:p>
          <w:p w14:paraId="0F0EA53B" w14:textId="77777777" w:rsidR="00FC6286" w:rsidRDefault="00FC6286" w:rsidP="00FC6286">
            <w:pPr>
              <w:spacing w:before="60" w:after="60"/>
              <w:rPr>
                <w:rFonts w:ascii="Arial" w:hAnsi="Arial" w:cs="Arial"/>
                <w:sz w:val="22"/>
                <w:szCs w:val="22"/>
                <w:lang w:val="lv-LV"/>
              </w:rPr>
            </w:pPr>
            <w:r>
              <w:rPr>
                <w:rFonts w:ascii="Arial" w:hAnsi="Arial" w:cs="Arial"/>
                <w:sz w:val="22"/>
                <w:szCs w:val="22"/>
                <w:lang w:val="lv-LV"/>
              </w:rPr>
              <w:t>Variants Nr.2</w:t>
            </w:r>
          </w:p>
          <w:p w14:paraId="77FB1F87" w14:textId="77777777" w:rsidR="00FC6286" w:rsidRDefault="00FC6286" w:rsidP="00FC6286">
            <w:pPr>
              <w:spacing w:before="60" w:after="60"/>
              <w:rPr>
                <w:rFonts w:ascii="Arial" w:hAnsi="Arial" w:cs="Arial"/>
                <w:i/>
                <w:iCs/>
                <w:sz w:val="22"/>
                <w:szCs w:val="22"/>
                <w:lang w:val="lv-LV"/>
              </w:rPr>
            </w:pPr>
            <w:r>
              <w:rPr>
                <w:rFonts w:ascii="Arial" w:hAnsi="Arial" w:cs="Arial"/>
                <w:sz w:val="22"/>
                <w:szCs w:val="22"/>
                <w:lang w:val="lv-LV"/>
              </w:rPr>
              <w:t>“</w:t>
            </w:r>
            <w:r>
              <w:rPr>
                <w:rFonts w:ascii="Arial" w:hAnsi="Arial" w:cs="Arial"/>
                <w:i/>
                <w:iCs/>
                <w:sz w:val="22"/>
                <w:szCs w:val="22"/>
                <w:lang w:val="lv-LV"/>
              </w:rPr>
              <w:t>Visam piedāvātajam aprīkojumam – gan veselām sistēmām, gan atsevišķām ierīcēm un elementiem – papildus atbilstībai tehniskajām specifikācijām jāatbilst arī šādām prasībām:</w:t>
            </w:r>
          </w:p>
          <w:p w14:paraId="11F54B6B" w14:textId="6B86EE4D" w:rsidR="00FC6286" w:rsidRPr="00FC6286" w:rsidRDefault="00FC6286" w:rsidP="00FC6286">
            <w:pPr>
              <w:pStyle w:val="ListParagraph"/>
              <w:numPr>
                <w:ilvl w:val="0"/>
                <w:numId w:val="5"/>
              </w:numPr>
              <w:spacing w:before="60" w:after="60"/>
              <w:rPr>
                <w:rFonts w:ascii="Arial" w:hAnsi="Arial" w:cs="Arial"/>
                <w:i/>
                <w:iCs/>
                <w:sz w:val="22"/>
                <w:szCs w:val="22"/>
                <w:lang w:val="lv-LV"/>
              </w:rPr>
            </w:pPr>
            <w:r>
              <w:rPr>
                <w:rFonts w:ascii="Arial" w:hAnsi="Arial" w:cs="Arial"/>
                <w:i/>
                <w:iCs/>
                <w:sz w:val="22"/>
                <w:szCs w:val="22"/>
                <w:lang w:val="lv-LV"/>
              </w:rPr>
              <w:t>Tāda paša veida centralizācijas sistēmai, kuru paredzēts uzstādīt, pārbaudīt un nodot ekspluatācijā projekta ietvaros jābūt iedarbinātai (ieviestai ekspluatācijā) vismaz vienā Dobeles stacijai līdzīgā stacijā, kura atrodas Eiropas Savienībā un kurā uzstādītas vismaz 30 pārmijas.</w:t>
            </w:r>
          </w:p>
        </w:tc>
        <w:tc>
          <w:tcPr>
            <w:tcW w:w="4732" w:type="dxa"/>
            <w:tcBorders>
              <w:top w:val="single" w:sz="4" w:space="0" w:color="auto"/>
              <w:left w:val="single" w:sz="4" w:space="0" w:color="auto"/>
              <w:bottom w:val="single" w:sz="4" w:space="0" w:color="auto"/>
              <w:right w:val="single" w:sz="4" w:space="0" w:color="auto"/>
            </w:tcBorders>
          </w:tcPr>
          <w:p w14:paraId="2D4AE8E1" w14:textId="2B07718F" w:rsidR="002728F0" w:rsidRDefault="00EA632F" w:rsidP="0068184A">
            <w:pPr>
              <w:spacing w:after="120"/>
              <w:ind w:left="-6" w:firstLine="235"/>
              <w:rPr>
                <w:rFonts w:ascii="Arial" w:hAnsi="Arial" w:cs="Arial"/>
                <w:sz w:val="22"/>
                <w:szCs w:val="22"/>
                <w:lang w:val="lv-LV"/>
              </w:rPr>
            </w:pPr>
            <w:r>
              <w:rPr>
                <w:rFonts w:ascii="Arial" w:hAnsi="Arial" w:cs="Arial"/>
                <w:sz w:val="22"/>
                <w:szCs w:val="22"/>
                <w:lang w:val="lv-LV"/>
              </w:rPr>
              <w:lastRenderedPageBreak/>
              <w:t xml:space="preserve">Informējam, ka atsauce uz vienu veiksmīgi realizēto projektu, kura ietvaros ar </w:t>
            </w:r>
            <w:r w:rsidR="007642E9">
              <w:rPr>
                <w:rFonts w:ascii="Arial" w:hAnsi="Arial" w:cs="Arial"/>
                <w:sz w:val="22"/>
                <w:szCs w:val="22"/>
                <w:lang w:val="lv-LV"/>
              </w:rPr>
              <w:t xml:space="preserve">piedāvājamo </w:t>
            </w:r>
            <w:r>
              <w:rPr>
                <w:rFonts w:ascii="Arial" w:hAnsi="Arial" w:cs="Arial"/>
                <w:sz w:val="22"/>
                <w:szCs w:val="22"/>
                <w:lang w:val="lv-LV"/>
              </w:rPr>
              <w:t xml:space="preserve">mikroprocesoru centralizācijas sistēmu tika aprīkota tikai viena </w:t>
            </w:r>
            <w:r w:rsidR="007642E9">
              <w:rPr>
                <w:rFonts w:ascii="Arial" w:hAnsi="Arial" w:cs="Arial"/>
                <w:sz w:val="22"/>
                <w:szCs w:val="22"/>
                <w:lang w:val="lv-LV"/>
              </w:rPr>
              <w:t xml:space="preserve">stacija </w:t>
            </w:r>
            <w:r w:rsidR="007642E9" w:rsidRPr="007642E9">
              <w:rPr>
                <w:rFonts w:ascii="Arial" w:hAnsi="Arial" w:cs="Arial"/>
                <w:sz w:val="22"/>
                <w:szCs w:val="22"/>
                <w:lang w:val="lv-LV"/>
              </w:rPr>
              <w:t>ES dzelzceļa tīkla maģistrālajās līnijās</w:t>
            </w:r>
            <w:r w:rsidR="007642E9">
              <w:rPr>
                <w:rFonts w:ascii="Arial" w:hAnsi="Arial" w:cs="Arial"/>
                <w:sz w:val="22"/>
                <w:szCs w:val="22"/>
                <w:lang w:val="lv-LV"/>
              </w:rPr>
              <w:t>, ir nepietiekama</w:t>
            </w:r>
            <w:r w:rsidR="00B44852">
              <w:rPr>
                <w:rFonts w:ascii="Arial" w:hAnsi="Arial" w:cs="Arial"/>
                <w:sz w:val="22"/>
                <w:szCs w:val="22"/>
                <w:lang w:val="lv-LV"/>
              </w:rPr>
              <w:t>, jo</w:t>
            </w:r>
            <w:r w:rsidR="00687806">
              <w:rPr>
                <w:rFonts w:ascii="Arial" w:hAnsi="Arial" w:cs="Arial"/>
                <w:sz w:val="22"/>
                <w:szCs w:val="22"/>
                <w:lang w:val="lv-LV"/>
              </w:rPr>
              <w:t xml:space="preserve"> Pasūtītāja ieskatā</w:t>
            </w:r>
            <w:r w:rsidR="006554A3">
              <w:rPr>
                <w:rFonts w:ascii="Arial" w:hAnsi="Arial" w:cs="Arial"/>
                <w:sz w:val="22"/>
                <w:szCs w:val="22"/>
                <w:lang w:val="lv-LV"/>
              </w:rPr>
              <w:t xml:space="preserve"> </w:t>
            </w:r>
            <w:r w:rsidR="0078564D">
              <w:rPr>
                <w:rFonts w:ascii="Arial" w:hAnsi="Arial" w:cs="Arial"/>
                <w:sz w:val="22"/>
                <w:szCs w:val="22"/>
                <w:lang w:val="lv-LV"/>
              </w:rPr>
              <w:t>pēc tās nevar spriest par</w:t>
            </w:r>
            <w:r w:rsidR="00B44852">
              <w:rPr>
                <w:rFonts w:ascii="Arial" w:hAnsi="Arial" w:cs="Arial"/>
                <w:sz w:val="22"/>
                <w:szCs w:val="22"/>
                <w:lang w:val="lv-LV"/>
              </w:rPr>
              <w:t xml:space="preserve"> dotās sistēmas</w:t>
            </w:r>
            <w:r w:rsidR="0078564D">
              <w:rPr>
                <w:rFonts w:ascii="Arial" w:hAnsi="Arial" w:cs="Arial"/>
                <w:sz w:val="22"/>
                <w:szCs w:val="22"/>
                <w:lang w:val="lv-LV"/>
              </w:rPr>
              <w:t xml:space="preserve"> stabilo darbību un</w:t>
            </w:r>
            <w:r w:rsidR="00B44852">
              <w:rPr>
                <w:rFonts w:ascii="Arial" w:hAnsi="Arial" w:cs="Arial"/>
                <w:sz w:val="22"/>
                <w:szCs w:val="22"/>
                <w:lang w:val="lv-LV"/>
              </w:rPr>
              <w:t xml:space="preserve"> tiražēšanas iespēj</w:t>
            </w:r>
            <w:r w:rsidR="0078564D">
              <w:rPr>
                <w:rFonts w:ascii="Arial" w:hAnsi="Arial" w:cs="Arial"/>
                <w:sz w:val="22"/>
                <w:szCs w:val="22"/>
                <w:lang w:val="lv-LV"/>
              </w:rPr>
              <w:t>u</w:t>
            </w:r>
            <w:r w:rsidR="00254E7E">
              <w:rPr>
                <w:rFonts w:ascii="Arial" w:hAnsi="Arial" w:cs="Arial"/>
                <w:sz w:val="22"/>
                <w:szCs w:val="22"/>
                <w:lang w:val="lv-LV"/>
              </w:rPr>
              <w:t xml:space="preserve"> </w:t>
            </w:r>
            <w:r w:rsidR="0078564D">
              <w:rPr>
                <w:rFonts w:ascii="Arial" w:hAnsi="Arial" w:cs="Arial"/>
                <w:sz w:val="22"/>
                <w:szCs w:val="22"/>
                <w:lang w:val="lv-LV"/>
              </w:rPr>
              <w:t>uz citām ES dzelzceļu stacijām.</w:t>
            </w:r>
            <w:r w:rsidR="007642E9">
              <w:rPr>
                <w:rFonts w:ascii="Arial" w:hAnsi="Arial" w:cs="Arial"/>
                <w:sz w:val="22"/>
                <w:szCs w:val="22"/>
                <w:lang w:val="lv-LV"/>
              </w:rPr>
              <w:t xml:space="preserve"> </w:t>
            </w:r>
            <w:r w:rsidR="00A259E4">
              <w:rPr>
                <w:rFonts w:ascii="Arial" w:hAnsi="Arial" w:cs="Arial"/>
                <w:sz w:val="22"/>
                <w:szCs w:val="22"/>
                <w:lang w:val="lv-LV"/>
              </w:rPr>
              <w:t xml:space="preserve">Piedāvājamās centralizācijas sistēmas pielietošanas iespējas uz Latvijas dzelzceļa infrastruktūras  apliecināšanai nepieciešama tās veiksmīgas </w:t>
            </w:r>
            <w:r w:rsidR="00D64FE1">
              <w:rPr>
                <w:rFonts w:ascii="Arial" w:hAnsi="Arial" w:cs="Arial"/>
                <w:sz w:val="22"/>
                <w:szCs w:val="22"/>
                <w:lang w:val="lv-LV"/>
              </w:rPr>
              <w:t xml:space="preserve">pastāvīgas </w:t>
            </w:r>
            <w:r w:rsidR="00A259E4">
              <w:rPr>
                <w:rFonts w:ascii="Arial" w:hAnsi="Arial" w:cs="Arial"/>
                <w:sz w:val="22"/>
                <w:szCs w:val="22"/>
                <w:lang w:val="lv-LV"/>
              </w:rPr>
              <w:t xml:space="preserve">ekspluatācijas un drošas pielietošanas pieredze </w:t>
            </w:r>
            <w:r w:rsidR="00D64FE1">
              <w:rPr>
                <w:rFonts w:ascii="Arial" w:hAnsi="Arial" w:cs="Arial"/>
                <w:sz w:val="22"/>
                <w:szCs w:val="22"/>
                <w:lang w:val="lv-LV"/>
              </w:rPr>
              <w:t xml:space="preserve">vismaz </w:t>
            </w:r>
            <w:r w:rsidR="00D64FE1" w:rsidRPr="00D64FE1">
              <w:rPr>
                <w:rFonts w:ascii="Arial" w:hAnsi="Arial" w:cs="Arial"/>
                <w:sz w:val="22"/>
                <w:szCs w:val="22"/>
                <w:lang w:val="lv-LV"/>
              </w:rPr>
              <w:t xml:space="preserve">trijās </w:t>
            </w:r>
            <w:r w:rsidR="00B44852" w:rsidRPr="00D64FE1">
              <w:rPr>
                <w:rFonts w:ascii="Arial" w:hAnsi="Arial" w:cs="Arial"/>
                <w:sz w:val="22"/>
                <w:szCs w:val="22"/>
                <w:lang w:val="lv-LV"/>
              </w:rPr>
              <w:t xml:space="preserve">ES dzelzceļa tīkla </w:t>
            </w:r>
            <w:r w:rsidR="00D64FE1" w:rsidRPr="00D64FE1">
              <w:rPr>
                <w:rFonts w:ascii="Arial" w:hAnsi="Arial" w:cs="Arial"/>
                <w:sz w:val="22"/>
                <w:szCs w:val="22"/>
                <w:lang w:val="lv-LV"/>
              </w:rPr>
              <w:t>stacijās</w:t>
            </w:r>
            <w:r w:rsidR="00B44852">
              <w:rPr>
                <w:rFonts w:ascii="Arial" w:hAnsi="Arial" w:cs="Arial"/>
                <w:sz w:val="22"/>
                <w:szCs w:val="22"/>
                <w:lang w:val="lv-LV"/>
              </w:rPr>
              <w:t>.</w:t>
            </w:r>
          </w:p>
          <w:p w14:paraId="2F8D2BDA" w14:textId="59EB9B33" w:rsidR="00C20FA7" w:rsidRDefault="00C20FA7" w:rsidP="0068184A">
            <w:pPr>
              <w:spacing w:after="120"/>
              <w:ind w:left="-6" w:firstLine="235"/>
              <w:rPr>
                <w:rFonts w:ascii="Arial" w:hAnsi="Arial" w:cs="Arial"/>
                <w:sz w:val="22"/>
                <w:szCs w:val="22"/>
                <w:lang w:val="lv-LV"/>
              </w:rPr>
            </w:pPr>
            <w:r>
              <w:rPr>
                <w:rFonts w:ascii="Arial" w:hAnsi="Arial" w:cs="Arial"/>
                <w:sz w:val="22"/>
                <w:szCs w:val="22"/>
                <w:lang w:val="lv-LV"/>
              </w:rPr>
              <w:t>Sakarā ar to, ka drošības prasības dzelzceļa vilcienu vadības sistēmām valstīs, kuras nav Eiropas savienības dalībvalstis, var ievērojami atšķirties no ES standartos noteikt</w:t>
            </w:r>
            <w:r w:rsidR="00410919">
              <w:rPr>
                <w:rFonts w:ascii="Arial" w:hAnsi="Arial" w:cs="Arial"/>
                <w:sz w:val="22"/>
                <w:szCs w:val="22"/>
                <w:lang w:val="lv-LV"/>
              </w:rPr>
              <w:t>ā</w:t>
            </w:r>
            <w:r>
              <w:rPr>
                <w:rFonts w:ascii="Arial" w:hAnsi="Arial" w:cs="Arial"/>
                <w:sz w:val="22"/>
                <w:szCs w:val="22"/>
                <w:lang w:val="lv-LV"/>
              </w:rPr>
              <w:t>, atsauce uz veiksmīgu pieredzi šādās valstīs ir nepieņemama.</w:t>
            </w:r>
          </w:p>
          <w:p w14:paraId="5B940828" w14:textId="65AF3494" w:rsidR="00EA632F" w:rsidRPr="008578B1" w:rsidRDefault="00EA632F" w:rsidP="0068184A">
            <w:pPr>
              <w:spacing w:after="120"/>
              <w:ind w:left="-6" w:firstLine="235"/>
              <w:rPr>
                <w:rFonts w:ascii="Arial" w:hAnsi="Arial" w:cs="Arial"/>
                <w:sz w:val="22"/>
                <w:szCs w:val="22"/>
                <w:lang w:val="lv-LV"/>
              </w:rPr>
            </w:pPr>
            <w:r>
              <w:rPr>
                <w:rFonts w:ascii="Arial" w:hAnsi="Arial" w:cs="Arial"/>
                <w:sz w:val="22"/>
                <w:szCs w:val="22"/>
                <w:lang w:val="lv-LV"/>
              </w:rPr>
              <w:t xml:space="preserve">Grozījumi Nolikumā </w:t>
            </w:r>
            <w:r w:rsidR="00477400">
              <w:rPr>
                <w:rFonts w:ascii="Arial" w:hAnsi="Arial" w:cs="Arial"/>
                <w:sz w:val="22"/>
                <w:szCs w:val="22"/>
                <w:lang w:val="lv-LV"/>
              </w:rPr>
              <w:t xml:space="preserve">šajā punktā </w:t>
            </w:r>
            <w:r>
              <w:rPr>
                <w:rFonts w:ascii="Arial" w:hAnsi="Arial" w:cs="Arial"/>
                <w:sz w:val="22"/>
                <w:szCs w:val="22"/>
                <w:lang w:val="lv-LV"/>
              </w:rPr>
              <w:t>netiks veikti.</w:t>
            </w:r>
          </w:p>
        </w:tc>
      </w:tr>
    </w:tbl>
    <w:bookmarkEnd w:id="0"/>
    <w:p w14:paraId="7D5A090C" w14:textId="77777777" w:rsidR="00B24CB1" w:rsidRDefault="00B24CB1" w:rsidP="00B24CB1">
      <w:pPr>
        <w:pStyle w:val="BodyTextIndent"/>
        <w:ind w:right="-1"/>
        <w:contextualSpacing/>
        <w:rPr>
          <w:rFonts w:ascii="Arial" w:hAnsi="Arial" w:cs="Arial"/>
          <w:bCs/>
          <w:sz w:val="20"/>
        </w:rPr>
      </w:pPr>
      <w:r w:rsidRPr="00722273">
        <w:rPr>
          <w:rFonts w:ascii="Arial" w:hAnsi="Arial" w:cs="Arial"/>
          <w:bCs/>
          <w:sz w:val="20"/>
          <w:vertAlign w:val="superscript"/>
        </w:rPr>
        <w:t>1</w:t>
      </w:r>
      <w:r w:rsidRPr="00722273">
        <w:rPr>
          <w:rFonts w:ascii="Arial" w:hAnsi="Arial" w:cs="Arial"/>
          <w:bCs/>
          <w:sz w:val="20"/>
        </w:rPr>
        <w:t xml:space="preserve"> ierobežotas pieejamības informācija</w:t>
      </w:r>
    </w:p>
    <w:p w14:paraId="7C84F623" w14:textId="25B92CF6" w:rsidR="0098236C" w:rsidRPr="008578B1" w:rsidRDefault="0098236C" w:rsidP="002728F0">
      <w:pPr>
        <w:rPr>
          <w:lang w:val="lv-LV"/>
        </w:rPr>
      </w:pPr>
    </w:p>
    <w:sectPr w:rsidR="0098236C" w:rsidRPr="008578B1" w:rsidSect="00560C63">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273"/>
    <w:multiLevelType w:val="hybridMultilevel"/>
    <w:tmpl w:val="082261A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123A88"/>
    <w:multiLevelType w:val="hybridMultilevel"/>
    <w:tmpl w:val="F1A0156C"/>
    <w:lvl w:ilvl="0" w:tplc="CB8AFDDE">
      <w:start w:val="2022"/>
      <w:numFmt w:val="bullet"/>
      <w:lvlText w:val=""/>
      <w:lvlJc w:val="left"/>
      <w:pPr>
        <w:ind w:left="674" w:hanging="360"/>
      </w:pPr>
      <w:rPr>
        <w:rFonts w:ascii="Symbol" w:eastAsia="Times New Roman" w:hAnsi="Symbol" w:cs="Arial" w:hint="default"/>
      </w:rPr>
    </w:lvl>
    <w:lvl w:ilvl="1" w:tplc="04260003" w:tentative="1">
      <w:start w:val="1"/>
      <w:numFmt w:val="bullet"/>
      <w:lvlText w:val="o"/>
      <w:lvlJc w:val="left"/>
      <w:pPr>
        <w:ind w:left="1394" w:hanging="360"/>
      </w:pPr>
      <w:rPr>
        <w:rFonts w:ascii="Courier New" w:hAnsi="Courier New" w:cs="Courier New" w:hint="default"/>
      </w:rPr>
    </w:lvl>
    <w:lvl w:ilvl="2" w:tplc="04260005" w:tentative="1">
      <w:start w:val="1"/>
      <w:numFmt w:val="bullet"/>
      <w:lvlText w:val=""/>
      <w:lvlJc w:val="left"/>
      <w:pPr>
        <w:ind w:left="2114" w:hanging="360"/>
      </w:pPr>
      <w:rPr>
        <w:rFonts w:ascii="Wingdings" w:hAnsi="Wingdings" w:hint="default"/>
      </w:rPr>
    </w:lvl>
    <w:lvl w:ilvl="3" w:tplc="04260001" w:tentative="1">
      <w:start w:val="1"/>
      <w:numFmt w:val="bullet"/>
      <w:lvlText w:val=""/>
      <w:lvlJc w:val="left"/>
      <w:pPr>
        <w:ind w:left="2834" w:hanging="360"/>
      </w:pPr>
      <w:rPr>
        <w:rFonts w:ascii="Symbol" w:hAnsi="Symbol" w:hint="default"/>
      </w:rPr>
    </w:lvl>
    <w:lvl w:ilvl="4" w:tplc="04260003" w:tentative="1">
      <w:start w:val="1"/>
      <w:numFmt w:val="bullet"/>
      <w:lvlText w:val="o"/>
      <w:lvlJc w:val="left"/>
      <w:pPr>
        <w:ind w:left="3554" w:hanging="360"/>
      </w:pPr>
      <w:rPr>
        <w:rFonts w:ascii="Courier New" w:hAnsi="Courier New" w:cs="Courier New" w:hint="default"/>
      </w:rPr>
    </w:lvl>
    <w:lvl w:ilvl="5" w:tplc="04260005" w:tentative="1">
      <w:start w:val="1"/>
      <w:numFmt w:val="bullet"/>
      <w:lvlText w:val=""/>
      <w:lvlJc w:val="left"/>
      <w:pPr>
        <w:ind w:left="4274" w:hanging="360"/>
      </w:pPr>
      <w:rPr>
        <w:rFonts w:ascii="Wingdings" w:hAnsi="Wingdings" w:hint="default"/>
      </w:rPr>
    </w:lvl>
    <w:lvl w:ilvl="6" w:tplc="04260001" w:tentative="1">
      <w:start w:val="1"/>
      <w:numFmt w:val="bullet"/>
      <w:lvlText w:val=""/>
      <w:lvlJc w:val="left"/>
      <w:pPr>
        <w:ind w:left="4994" w:hanging="360"/>
      </w:pPr>
      <w:rPr>
        <w:rFonts w:ascii="Symbol" w:hAnsi="Symbol" w:hint="default"/>
      </w:rPr>
    </w:lvl>
    <w:lvl w:ilvl="7" w:tplc="04260003" w:tentative="1">
      <w:start w:val="1"/>
      <w:numFmt w:val="bullet"/>
      <w:lvlText w:val="o"/>
      <w:lvlJc w:val="left"/>
      <w:pPr>
        <w:ind w:left="5714" w:hanging="360"/>
      </w:pPr>
      <w:rPr>
        <w:rFonts w:ascii="Courier New" w:hAnsi="Courier New" w:cs="Courier New" w:hint="default"/>
      </w:rPr>
    </w:lvl>
    <w:lvl w:ilvl="8" w:tplc="04260005" w:tentative="1">
      <w:start w:val="1"/>
      <w:numFmt w:val="bullet"/>
      <w:lvlText w:val=""/>
      <w:lvlJc w:val="left"/>
      <w:pPr>
        <w:ind w:left="6434" w:hanging="360"/>
      </w:pPr>
      <w:rPr>
        <w:rFonts w:ascii="Wingdings" w:hAnsi="Wingdings" w:hint="default"/>
      </w:rPr>
    </w:lvl>
  </w:abstractNum>
  <w:abstractNum w:abstractNumId="2" w15:restartNumberingAfterBreak="0">
    <w:nsid w:val="35CF734C"/>
    <w:multiLevelType w:val="hybridMultilevel"/>
    <w:tmpl w:val="7E6A20E4"/>
    <w:lvl w:ilvl="0" w:tplc="4A3E88E0">
      <w:start w:val="2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D6701F"/>
    <w:multiLevelType w:val="hybridMultilevel"/>
    <w:tmpl w:val="FC166250"/>
    <w:lvl w:ilvl="0" w:tplc="54BAC7D0">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BEA0A5E"/>
    <w:multiLevelType w:val="hybridMultilevel"/>
    <w:tmpl w:val="CDD044A6"/>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15820"/>
    <w:rsid w:val="00151C88"/>
    <w:rsid w:val="00252134"/>
    <w:rsid w:val="00254E7E"/>
    <w:rsid w:val="002728F0"/>
    <w:rsid w:val="00284019"/>
    <w:rsid w:val="002E2090"/>
    <w:rsid w:val="003204EA"/>
    <w:rsid w:val="00324938"/>
    <w:rsid w:val="003C0E61"/>
    <w:rsid w:val="0041056F"/>
    <w:rsid w:val="00410919"/>
    <w:rsid w:val="00477400"/>
    <w:rsid w:val="00481FE3"/>
    <w:rsid w:val="00503420"/>
    <w:rsid w:val="00503873"/>
    <w:rsid w:val="00560C63"/>
    <w:rsid w:val="0062539F"/>
    <w:rsid w:val="006554A3"/>
    <w:rsid w:val="00680C26"/>
    <w:rsid w:val="0068184A"/>
    <w:rsid w:val="00687806"/>
    <w:rsid w:val="0069408C"/>
    <w:rsid w:val="007013A1"/>
    <w:rsid w:val="00710E6C"/>
    <w:rsid w:val="007642E9"/>
    <w:rsid w:val="0078564D"/>
    <w:rsid w:val="008578B1"/>
    <w:rsid w:val="00877F87"/>
    <w:rsid w:val="008E3081"/>
    <w:rsid w:val="008E7316"/>
    <w:rsid w:val="008F489C"/>
    <w:rsid w:val="0098236C"/>
    <w:rsid w:val="00A259E4"/>
    <w:rsid w:val="00A560D8"/>
    <w:rsid w:val="00A7247E"/>
    <w:rsid w:val="00A94C0C"/>
    <w:rsid w:val="00AB7F6A"/>
    <w:rsid w:val="00B008CF"/>
    <w:rsid w:val="00B24CB1"/>
    <w:rsid w:val="00B44852"/>
    <w:rsid w:val="00B70186"/>
    <w:rsid w:val="00B839E3"/>
    <w:rsid w:val="00BB42DA"/>
    <w:rsid w:val="00BD7589"/>
    <w:rsid w:val="00C136EE"/>
    <w:rsid w:val="00C20434"/>
    <w:rsid w:val="00C20FA7"/>
    <w:rsid w:val="00D60D32"/>
    <w:rsid w:val="00D64FE1"/>
    <w:rsid w:val="00DC0641"/>
    <w:rsid w:val="00DD2B7E"/>
    <w:rsid w:val="00E2673D"/>
    <w:rsid w:val="00E31ED0"/>
    <w:rsid w:val="00E5580B"/>
    <w:rsid w:val="00EA632F"/>
    <w:rsid w:val="00EB1FBF"/>
    <w:rsid w:val="00F13663"/>
    <w:rsid w:val="00F4397A"/>
    <w:rsid w:val="00FC3115"/>
    <w:rsid w:val="00FC6286"/>
    <w:rsid w:val="00FE6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7013A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728F0"/>
    <w:pPr>
      <w:spacing w:before="100" w:beforeAutospacing="1" w:after="100" w:afterAutospacing="1"/>
    </w:pPr>
    <w:rPr>
      <w:rFonts w:ascii="Calibri" w:eastAsiaTheme="minorHAnsi" w:hAnsi="Calibri" w:cs="Calibri"/>
      <w:sz w:val="22"/>
      <w:szCs w:val="22"/>
      <w:lang w:val="lv-LV"/>
    </w:rPr>
  </w:style>
  <w:style w:type="character" w:customStyle="1" w:styleId="word">
    <w:name w:val="word"/>
    <w:basedOn w:val="DefaultParagraphFont"/>
    <w:rsid w:val="00B008CF"/>
  </w:style>
  <w:style w:type="paragraph" w:customStyle="1" w:styleId="Default">
    <w:name w:val="Default"/>
    <w:rsid w:val="008578B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rsid w:val="00B24CB1"/>
    <w:pPr>
      <w:jc w:val="both"/>
    </w:pPr>
    <w:rPr>
      <w:sz w:val="24"/>
      <w:lang w:val="lv-LV" w:eastAsia="en-US"/>
    </w:rPr>
  </w:style>
  <w:style w:type="character" w:customStyle="1" w:styleId="BodyTextIndentChar">
    <w:name w:val="Body Text Indent Char"/>
    <w:basedOn w:val="DefaultParagraphFont"/>
    <w:link w:val="BodyTextIndent"/>
    <w:rsid w:val="00B24CB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4387">
      <w:bodyDiv w:val="1"/>
      <w:marLeft w:val="0"/>
      <w:marRight w:val="0"/>
      <w:marTop w:val="0"/>
      <w:marBottom w:val="0"/>
      <w:divBdr>
        <w:top w:val="none" w:sz="0" w:space="0" w:color="auto"/>
        <w:left w:val="none" w:sz="0" w:space="0" w:color="auto"/>
        <w:bottom w:val="none" w:sz="0" w:space="0" w:color="auto"/>
        <w:right w:val="none" w:sz="0" w:space="0" w:color="auto"/>
      </w:divBdr>
    </w:div>
    <w:div w:id="8112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2468</Words>
  <Characters>1407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5</cp:revision>
  <dcterms:created xsi:type="dcterms:W3CDTF">2022-08-30T07:30:00Z</dcterms:created>
  <dcterms:modified xsi:type="dcterms:W3CDTF">2022-08-30T08:37:00Z</dcterms:modified>
</cp:coreProperties>
</file>