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733" w:rsidRPr="008D7568" w:rsidRDefault="00411733" w:rsidP="00411733">
      <w:pPr>
        <w:ind w:right="284"/>
        <w:jc w:val="center"/>
        <w:rPr>
          <w:sz w:val="24"/>
          <w:szCs w:val="24"/>
          <w:lang w:val="lv-LV"/>
        </w:rPr>
      </w:pPr>
      <w:r w:rsidRPr="008D7568">
        <w:rPr>
          <w:b/>
          <w:color w:val="000000"/>
          <w:sz w:val="24"/>
          <w:szCs w:val="24"/>
          <w:lang w:val="lv-LV"/>
        </w:rPr>
        <w:t>Skaidrojums Nr.3</w:t>
      </w:r>
    </w:p>
    <w:p w:rsidR="00411733" w:rsidRPr="008D7568" w:rsidRDefault="00411733" w:rsidP="00411733">
      <w:pPr>
        <w:ind w:right="284"/>
        <w:jc w:val="center"/>
        <w:rPr>
          <w:sz w:val="24"/>
          <w:szCs w:val="24"/>
          <w:lang w:val="lv-LV"/>
        </w:rPr>
      </w:pPr>
      <w:r w:rsidRPr="008D7568">
        <w:rPr>
          <w:sz w:val="24"/>
          <w:szCs w:val="24"/>
          <w:lang w:val="lv-LV"/>
        </w:rPr>
        <w:t>atklātam konkursam “Daugavpils pieņemšanas parka un tā piebraucamo ceļu attīstība: būvuzraudzība” (iepirkuma identifikācijas numurs: LDZ 2017/10-IB/6.2.1.2/16/I/003/02-01)</w:t>
      </w:r>
    </w:p>
    <w:p w:rsidR="00411733" w:rsidRPr="008D7568" w:rsidRDefault="00411733" w:rsidP="00411733">
      <w:pPr>
        <w:ind w:left="-567"/>
        <w:rPr>
          <w:b/>
          <w:sz w:val="24"/>
          <w:szCs w:val="24"/>
          <w:u w:val="single"/>
          <w:lang w:val="lv-LV"/>
        </w:rPr>
      </w:pPr>
    </w:p>
    <w:p w:rsidR="00411733" w:rsidRPr="008D7568" w:rsidRDefault="00411733" w:rsidP="00411733">
      <w:pPr>
        <w:pStyle w:val="ListParagraph"/>
        <w:numPr>
          <w:ilvl w:val="0"/>
          <w:numId w:val="1"/>
        </w:numPr>
        <w:rPr>
          <w:b/>
          <w:sz w:val="24"/>
          <w:szCs w:val="24"/>
          <w:u w:val="single"/>
        </w:rPr>
      </w:pPr>
      <w:r w:rsidRPr="008D7568">
        <w:rPr>
          <w:b/>
          <w:sz w:val="24"/>
          <w:szCs w:val="24"/>
          <w:u w:val="single"/>
        </w:rPr>
        <w:t>JAUTĀJUMS:</w:t>
      </w:r>
    </w:p>
    <w:p w:rsidR="00411733" w:rsidRPr="008D7568" w:rsidRDefault="00411733" w:rsidP="00411733">
      <w:pPr>
        <w:rPr>
          <w:b/>
          <w:sz w:val="24"/>
          <w:szCs w:val="24"/>
          <w:lang w:val="lv-LV"/>
        </w:rPr>
      </w:pPr>
    </w:p>
    <w:p w:rsidR="00411733" w:rsidRPr="008D7568" w:rsidRDefault="00411733" w:rsidP="00411733">
      <w:pPr>
        <w:rPr>
          <w:b/>
          <w:sz w:val="24"/>
          <w:szCs w:val="24"/>
          <w:lang w:val="lv-LV"/>
        </w:rPr>
      </w:pPr>
      <w:r w:rsidRPr="008D7568">
        <w:rPr>
          <w:b/>
          <w:noProof/>
          <w:sz w:val="24"/>
          <w:szCs w:val="24"/>
          <w:lang w:val="lv-LV" w:eastAsia="lv-LV"/>
        </w:rPr>
        <w:drawing>
          <wp:inline distT="0" distB="0" distL="0" distR="0" wp14:anchorId="2B353A89" wp14:editId="34135C3B">
            <wp:extent cx="6772275" cy="1533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2275" cy="1533525"/>
                    </a:xfrm>
                    <a:prstGeom prst="rect">
                      <a:avLst/>
                    </a:prstGeom>
                    <a:noFill/>
                    <a:ln>
                      <a:noFill/>
                    </a:ln>
                  </pic:spPr>
                </pic:pic>
              </a:graphicData>
            </a:graphic>
          </wp:inline>
        </w:drawing>
      </w:r>
      <w:bookmarkStart w:id="0" w:name="_GoBack"/>
      <w:bookmarkEnd w:id="0"/>
    </w:p>
    <w:p w:rsidR="00411733" w:rsidRPr="008D7568" w:rsidRDefault="00411733" w:rsidP="00411733">
      <w:pPr>
        <w:ind w:left="-709"/>
        <w:rPr>
          <w:b/>
          <w:sz w:val="24"/>
          <w:szCs w:val="24"/>
          <w:u w:val="single"/>
          <w:lang w:val="lv-LV"/>
        </w:rPr>
      </w:pPr>
    </w:p>
    <w:p w:rsidR="00411733" w:rsidRPr="008D7568" w:rsidRDefault="00411733" w:rsidP="00411733">
      <w:pPr>
        <w:pStyle w:val="ListParagraph"/>
        <w:numPr>
          <w:ilvl w:val="0"/>
          <w:numId w:val="2"/>
        </w:numPr>
        <w:rPr>
          <w:b/>
          <w:sz w:val="24"/>
          <w:szCs w:val="24"/>
          <w:u w:val="single"/>
        </w:rPr>
      </w:pPr>
      <w:r w:rsidRPr="008D7568">
        <w:rPr>
          <w:b/>
          <w:sz w:val="24"/>
          <w:szCs w:val="24"/>
          <w:u w:val="single"/>
        </w:rPr>
        <w:t>ATBILDE:</w:t>
      </w:r>
    </w:p>
    <w:p w:rsidR="00411733" w:rsidRPr="008D7568" w:rsidRDefault="00411733" w:rsidP="00411733">
      <w:pPr>
        <w:ind w:left="-709"/>
        <w:rPr>
          <w:b/>
          <w:sz w:val="24"/>
          <w:szCs w:val="24"/>
          <w:u w:val="single"/>
          <w:lang w:val="lv-LV"/>
        </w:rPr>
      </w:pPr>
    </w:p>
    <w:p w:rsidR="00411733" w:rsidRPr="008D7568" w:rsidRDefault="00411733" w:rsidP="00411733">
      <w:pPr>
        <w:rPr>
          <w:sz w:val="24"/>
          <w:szCs w:val="24"/>
          <w:lang w:val="lv-LV"/>
        </w:rPr>
      </w:pPr>
      <w:r w:rsidRPr="008D7568">
        <w:rPr>
          <w:sz w:val="24"/>
          <w:szCs w:val="24"/>
          <w:lang w:val="lv-LV"/>
        </w:rPr>
        <w:t xml:space="preserve">Pretendentam netiek prasīta pieredze atbilstoši FIDIC Dzeltenās grāmatas noteikumiem, veicot būvdarbu būvuzraudzību, kā arī projektēšanas darbu uzraudzību. </w:t>
      </w:r>
    </w:p>
    <w:p w:rsidR="00411733" w:rsidRPr="008D7568" w:rsidRDefault="00411733" w:rsidP="00411733">
      <w:pPr>
        <w:rPr>
          <w:sz w:val="24"/>
          <w:szCs w:val="24"/>
          <w:lang w:val="lv-LV"/>
        </w:rPr>
      </w:pPr>
    </w:p>
    <w:p w:rsidR="00411733" w:rsidRPr="008D7568" w:rsidRDefault="00411733" w:rsidP="00411733">
      <w:pPr>
        <w:autoSpaceDE w:val="0"/>
        <w:autoSpaceDN w:val="0"/>
        <w:adjustRightInd w:val="0"/>
        <w:rPr>
          <w:sz w:val="24"/>
          <w:szCs w:val="24"/>
          <w:lang w:val="lv-LV"/>
        </w:rPr>
      </w:pPr>
      <w:r>
        <w:rPr>
          <w:sz w:val="24"/>
          <w:szCs w:val="24"/>
          <w:lang w:val="lv-LV"/>
        </w:rPr>
        <w:t>Atbilstoši Nolikuma 3.pielikuma 6.2.</w:t>
      </w:r>
      <w:r w:rsidRPr="008D7568">
        <w:rPr>
          <w:sz w:val="24"/>
          <w:szCs w:val="24"/>
          <w:lang w:val="lv-LV"/>
        </w:rPr>
        <w:t xml:space="preserve">punktam Projekta vadītājam jābūt pabeigušam vismaz vienu infrastruktūras izbūves/pārbūves darbu uzraudzības objektu, kurš nodots  ekspluatācijā pēdējo piecu gadu laikā, projektēšanas un būvdarbu līguma ietvaros (pēc FIDIC līguma noteikumiem vai līdzvērtīga līguma) Inženiera projekta vadītāja amatā. Projekta vadītāja pieredze var būt arī iegūta atbilstoši FIDIC Dzeltenās grāmatas noteikumiem. </w:t>
      </w:r>
    </w:p>
    <w:p w:rsidR="00411733" w:rsidRPr="008D7568" w:rsidRDefault="00411733" w:rsidP="00411733">
      <w:pPr>
        <w:rPr>
          <w:sz w:val="24"/>
          <w:szCs w:val="24"/>
          <w:lang w:val="lv-LV"/>
        </w:rPr>
      </w:pPr>
    </w:p>
    <w:p w:rsidR="00411733" w:rsidRPr="008D7568" w:rsidRDefault="00411733" w:rsidP="00411733">
      <w:pPr>
        <w:rPr>
          <w:sz w:val="24"/>
          <w:szCs w:val="24"/>
          <w:lang w:val="lv-LV"/>
        </w:rPr>
      </w:pPr>
      <w:r w:rsidRPr="008D7568">
        <w:rPr>
          <w:sz w:val="24"/>
          <w:szCs w:val="24"/>
          <w:lang w:val="lv-LV"/>
        </w:rPr>
        <w:t>Atbildīgajam būvuzraugam netiek prasīta pieredze atbilstoši FIDIC Dzeltenās grāmatas noteikumiem.</w:t>
      </w:r>
    </w:p>
    <w:p w:rsidR="00411733" w:rsidRPr="008D7568" w:rsidRDefault="00411733" w:rsidP="00411733">
      <w:pPr>
        <w:rPr>
          <w:sz w:val="24"/>
          <w:szCs w:val="24"/>
          <w:lang w:val="lv-LV"/>
        </w:rPr>
      </w:pPr>
    </w:p>
    <w:p w:rsidR="00411733" w:rsidRPr="008D7568" w:rsidRDefault="00411733" w:rsidP="00411733">
      <w:pPr>
        <w:pStyle w:val="ListParagraph"/>
        <w:numPr>
          <w:ilvl w:val="0"/>
          <w:numId w:val="1"/>
        </w:numPr>
        <w:rPr>
          <w:b/>
          <w:sz w:val="24"/>
          <w:szCs w:val="24"/>
          <w:u w:val="single"/>
        </w:rPr>
      </w:pPr>
      <w:r w:rsidRPr="008D7568">
        <w:rPr>
          <w:b/>
          <w:sz w:val="24"/>
          <w:szCs w:val="24"/>
          <w:u w:val="single"/>
        </w:rPr>
        <w:t>JAUTĀJUMS:</w:t>
      </w:r>
    </w:p>
    <w:p w:rsidR="00411733" w:rsidRPr="008D7568" w:rsidRDefault="00411733" w:rsidP="00411733">
      <w:pPr>
        <w:rPr>
          <w:sz w:val="24"/>
          <w:szCs w:val="24"/>
          <w:lang w:val="lv-LV"/>
        </w:rPr>
      </w:pPr>
    </w:p>
    <w:p w:rsidR="00411733" w:rsidRPr="008D7568" w:rsidRDefault="00411733" w:rsidP="00411733">
      <w:pPr>
        <w:rPr>
          <w:sz w:val="24"/>
          <w:szCs w:val="24"/>
          <w:lang w:val="lv-LV"/>
        </w:rPr>
      </w:pPr>
      <w:r w:rsidRPr="008D7568">
        <w:rPr>
          <w:noProof/>
          <w:sz w:val="24"/>
          <w:szCs w:val="24"/>
          <w:lang w:val="lv-LV" w:eastAsia="lv-LV"/>
        </w:rPr>
        <w:lastRenderedPageBreak/>
        <w:drawing>
          <wp:inline distT="0" distB="0" distL="0" distR="0" wp14:anchorId="65C621B1" wp14:editId="7D077078">
            <wp:extent cx="67627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0" cy="762000"/>
                    </a:xfrm>
                    <a:prstGeom prst="rect">
                      <a:avLst/>
                    </a:prstGeom>
                    <a:noFill/>
                    <a:ln>
                      <a:noFill/>
                    </a:ln>
                  </pic:spPr>
                </pic:pic>
              </a:graphicData>
            </a:graphic>
          </wp:inline>
        </w:drawing>
      </w:r>
    </w:p>
    <w:p w:rsidR="00411733" w:rsidRPr="008D7568" w:rsidRDefault="00411733" w:rsidP="00411733">
      <w:pPr>
        <w:rPr>
          <w:sz w:val="24"/>
          <w:szCs w:val="24"/>
          <w:lang w:val="lv-LV"/>
        </w:rPr>
      </w:pPr>
    </w:p>
    <w:p w:rsidR="00411733" w:rsidRPr="008D7568" w:rsidRDefault="00411733" w:rsidP="00411733">
      <w:pPr>
        <w:pStyle w:val="ListParagraph"/>
        <w:numPr>
          <w:ilvl w:val="0"/>
          <w:numId w:val="2"/>
        </w:numPr>
        <w:rPr>
          <w:b/>
          <w:sz w:val="24"/>
          <w:szCs w:val="24"/>
          <w:u w:val="single"/>
        </w:rPr>
      </w:pPr>
      <w:r w:rsidRPr="008D7568">
        <w:rPr>
          <w:b/>
          <w:sz w:val="24"/>
          <w:szCs w:val="24"/>
          <w:u w:val="single"/>
        </w:rPr>
        <w:t>ATBILDE:</w:t>
      </w:r>
    </w:p>
    <w:p w:rsidR="00411733" w:rsidRPr="008D7568" w:rsidRDefault="00411733" w:rsidP="00411733">
      <w:pPr>
        <w:ind w:right="284"/>
        <w:rPr>
          <w:sz w:val="24"/>
          <w:szCs w:val="24"/>
          <w:lang w:val="lv-LV"/>
        </w:rPr>
      </w:pPr>
    </w:p>
    <w:p w:rsidR="00411733" w:rsidRDefault="00411733" w:rsidP="00411733">
      <w:pPr>
        <w:autoSpaceDE w:val="0"/>
        <w:autoSpaceDN w:val="0"/>
        <w:adjustRightInd w:val="0"/>
        <w:rPr>
          <w:sz w:val="24"/>
          <w:szCs w:val="24"/>
          <w:lang w:val="lv-LV"/>
        </w:rPr>
      </w:pPr>
      <w:r w:rsidRPr="008D7568">
        <w:rPr>
          <w:sz w:val="24"/>
          <w:szCs w:val="24"/>
          <w:lang w:val="lv-LV"/>
        </w:rPr>
        <w:t xml:space="preserve">Atbilstoši nolikuma prasībām pretendentam ir jāsniedz tikai patiesa informācija, ko pretendentam jāapliecina un jāgarantē.  Par nepatiesas informācijas sniegšanu Pasūtītājs izslēdz pretendentu no turpmākās dalības konkursā, neizskata piedāvājumu. Nepieciešamības gadījumā Iepirkuma komisija var precizēt un pārliecināties par piedāvājuma dokumentiem, lūdzot izskaidrot iekļauto informāciju. </w:t>
      </w:r>
    </w:p>
    <w:p w:rsidR="00925F69" w:rsidRPr="00411733" w:rsidRDefault="00925F69" w:rsidP="00411733">
      <w:pPr>
        <w:rPr>
          <w:lang w:val="lv-LV"/>
        </w:rPr>
      </w:pPr>
    </w:p>
    <w:sectPr w:rsidR="00925F69" w:rsidRPr="00411733" w:rsidSect="00411733">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C3A9C"/>
    <w:multiLevelType w:val="hybridMultilevel"/>
    <w:tmpl w:val="C27EF8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8F73EFC"/>
    <w:multiLevelType w:val="hybridMultilevel"/>
    <w:tmpl w:val="639CBF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D3"/>
    <w:rsid w:val="00411733"/>
    <w:rsid w:val="006912D3"/>
    <w:rsid w:val="00925F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D5A7D-BDB8-4BA9-8777-A333EDA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73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733"/>
    <w:pPr>
      <w:ind w:left="720"/>
      <w:contextualSpacing/>
    </w:pPr>
    <w:rPr>
      <w:rFonts w:eastAsia="Calibri"/>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2</cp:revision>
  <dcterms:created xsi:type="dcterms:W3CDTF">2017-07-05T06:20:00Z</dcterms:created>
  <dcterms:modified xsi:type="dcterms:W3CDTF">2017-07-05T06:20:00Z</dcterms:modified>
</cp:coreProperties>
</file>