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09B51" w14:textId="77777777" w:rsidR="00B23F74" w:rsidRPr="00B23F74" w:rsidRDefault="00B23F74" w:rsidP="00B23F74">
      <w:pPr>
        <w:rPr>
          <w:rFonts w:ascii="Arial" w:hAnsi="Arial" w:cs="Arial"/>
          <w:caps/>
          <w:lang w:val="lv-LV"/>
        </w:rPr>
      </w:pPr>
    </w:p>
    <w:p w14:paraId="6B82AF22" w14:textId="77777777" w:rsidR="00B23F74" w:rsidRPr="00B23F74" w:rsidRDefault="00B23F74" w:rsidP="00B23F74">
      <w:pPr>
        <w:tabs>
          <w:tab w:val="left" w:pos="3760"/>
        </w:tabs>
        <w:ind w:left="-284" w:right="-643" w:firstLine="4395"/>
        <w:jc w:val="right"/>
        <w:rPr>
          <w:rFonts w:ascii="Arial" w:eastAsia="Calibri" w:hAnsi="Arial" w:cs="Arial"/>
          <w:i/>
          <w:lang w:val="lv-LV"/>
        </w:rPr>
      </w:pPr>
      <w:bookmarkStart w:id="0" w:name="_Hlk66347471"/>
      <w:r w:rsidRPr="00B23F74">
        <w:rPr>
          <w:rFonts w:ascii="Arial" w:eastAsia="Calibri" w:hAnsi="Arial" w:cs="Arial"/>
          <w:i/>
          <w:lang w:val="lv-LV"/>
        </w:rPr>
        <w:t>APSTIPRINĀTS:</w:t>
      </w:r>
    </w:p>
    <w:p w14:paraId="0F85A99C" w14:textId="36BA64EB" w:rsidR="00B23F74" w:rsidRPr="00B23F74" w:rsidRDefault="00B23F74" w:rsidP="00B23F74">
      <w:pPr>
        <w:tabs>
          <w:tab w:val="left" w:pos="3760"/>
        </w:tabs>
        <w:ind w:right="-643"/>
        <w:jc w:val="right"/>
        <w:rPr>
          <w:rFonts w:ascii="Arial" w:eastAsia="Calibri" w:hAnsi="Arial" w:cs="Arial"/>
          <w:i/>
          <w:lang w:val="lv-LV"/>
        </w:rPr>
      </w:pPr>
      <w:r w:rsidRPr="00B23F74">
        <w:rPr>
          <w:rFonts w:ascii="Arial" w:eastAsia="Calibri" w:hAnsi="Arial" w:cs="Arial"/>
          <w:i/>
          <w:lang w:val="lv-LV"/>
        </w:rPr>
        <w:t xml:space="preserve">ar iepirkuma komisijas </w:t>
      </w:r>
      <w:r w:rsidRPr="00B23F74">
        <w:rPr>
          <w:rFonts w:ascii="Arial" w:eastAsia="Arial Unicode MS" w:hAnsi="Arial" w:cs="Arial"/>
          <w:i/>
          <w:lang w:val="lv-LV"/>
        </w:rPr>
        <w:t xml:space="preserve">2021.gada </w:t>
      </w:r>
      <w:r>
        <w:rPr>
          <w:rFonts w:ascii="Arial" w:eastAsia="Arial Unicode MS" w:hAnsi="Arial" w:cs="Arial"/>
          <w:i/>
          <w:lang w:val="lv-LV"/>
        </w:rPr>
        <w:t>15</w:t>
      </w:r>
      <w:r w:rsidRPr="00B23F74">
        <w:rPr>
          <w:rFonts w:ascii="Arial" w:eastAsia="Arial Unicode MS" w:hAnsi="Arial" w:cs="Arial"/>
          <w:i/>
          <w:lang w:val="lv-LV"/>
        </w:rPr>
        <w:t>.jū</w:t>
      </w:r>
      <w:r>
        <w:rPr>
          <w:rFonts w:ascii="Arial" w:eastAsia="Arial Unicode MS" w:hAnsi="Arial" w:cs="Arial"/>
          <w:i/>
          <w:lang w:val="lv-LV"/>
        </w:rPr>
        <w:t>l</w:t>
      </w:r>
      <w:r w:rsidRPr="00B23F74">
        <w:rPr>
          <w:rFonts w:ascii="Arial" w:eastAsia="Arial Unicode MS" w:hAnsi="Arial" w:cs="Arial"/>
          <w:i/>
          <w:lang w:val="lv-LV"/>
        </w:rPr>
        <w:t xml:space="preserve">ija </w:t>
      </w:r>
    </w:p>
    <w:p w14:paraId="15C87BB3" w14:textId="77777777" w:rsidR="00B23F74" w:rsidRPr="00B23F74" w:rsidRDefault="00B23F74" w:rsidP="00B23F74">
      <w:pPr>
        <w:ind w:right="-643"/>
        <w:jc w:val="right"/>
        <w:rPr>
          <w:rFonts w:ascii="Arial" w:eastAsia="Arial Unicode MS" w:hAnsi="Arial" w:cs="Arial"/>
          <w:i/>
          <w:lang w:val="lv-LV"/>
        </w:rPr>
      </w:pPr>
      <w:r w:rsidRPr="00B23F74">
        <w:rPr>
          <w:rFonts w:ascii="Arial" w:eastAsia="Arial Unicode MS" w:hAnsi="Arial" w:cs="Arial"/>
          <w:i/>
          <w:lang w:val="lv-LV"/>
        </w:rPr>
        <w:t>sēdes protokolu Nr.2</w:t>
      </w:r>
    </w:p>
    <w:p w14:paraId="2DC448AB" w14:textId="77777777" w:rsidR="00B23F74" w:rsidRDefault="00B23F74" w:rsidP="00B23F74">
      <w:pPr>
        <w:pStyle w:val="Nosaukums"/>
        <w:rPr>
          <w:rFonts w:ascii="Arial" w:hAnsi="Arial" w:cs="Arial"/>
          <w:b/>
          <w:bCs/>
          <w:sz w:val="22"/>
          <w:szCs w:val="22"/>
        </w:rPr>
      </w:pPr>
    </w:p>
    <w:p w14:paraId="53C26241" w14:textId="5D4150C4" w:rsidR="00B23F74" w:rsidRPr="00B23F74" w:rsidRDefault="00B23F74" w:rsidP="00B36831">
      <w:pPr>
        <w:pStyle w:val="Nosaukums"/>
        <w:rPr>
          <w:rFonts w:ascii="Arial" w:hAnsi="Arial" w:cs="Arial"/>
          <w:b/>
          <w:bCs/>
          <w:sz w:val="22"/>
          <w:szCs w:val="22"/>
        </w:rPr>
      </w:pPr>
      <w:r w:rsidRPr="00B23F74">
        <w:rPr>
          <w:rFonts w:ascii="Arial" w:hAnsi="Arial" w:cs="Arial"/>
          <w:b/>
          <w:bCs/>
          <w:sz w:val="22"/>
          <w:szCs w:val="22"/>
        </w:rPr>
        <w:t>Sarunu procedūras ar publikāciju</w:t>
      </w:r>
    </w:p>
    <w:p w14:paraId="6340272F" w14:textId="77777777" w:rsidR="00B23F74" w:rsidRPr="00BA55B5" w:rsidRDefault="00B23F74" w:rsidP="00B36831">
      <w:pPr>
        <w:pStyle w:val="Nos2"/>
        <w:spacing w:before="0" w:after="0"/>
        <w:rPr>
          <w:rFonts w:ascii="Arial" w:hAnsi="Arial" w:cs="Arial"/>
          <w:b/>
          <w:bCs w:val="0"/>
          <w:sz w:val="22"/>
          <w:szCs w:val="22"/>
        </w:rPr>
      </w:pPr>
      <w:r w:rsidRPr="00BA55B5">
        <w:rPr>
          <w:rFonts w:ascii="Arial" w:hAnsi="Arial" w:cs="Arial"/>
          <w:b/>
          <w:bCs w:val="0"/>
          <w:sz w:val="22"/>
          <w:szCs w:val="22"/>
        </w:rPr>
        <w:t>„</w:t>
      </w:r>
      <w:r w:rsidRPr="00BA55B5">
        <w:rPr>
          <w:rFonts w:ascii="Arial" w:hAnsi="Arial" w:cs="Arial"/>
          <w:b/>
          <w:bCs w:val="0"/>
          <w:sz w:val="24"/>
          <w:szCs w:val="24"/>
          <w:lang w:eastAsia="lv-LV"/>
        </w:rPr>
        <w:t>Transformatoru apakšstaciju TP-18, TP-8213 un TP-9125 modernizācija</w:t>
      </w:r>
      <w:r w:rsidRPr="00BA55B5">
        <w:rPr>
          <w:rFonts w:ascii="Arial" w:hAnsi="Arial" w:cs="Arial"/>
          <w:b/>
          <w:bCs w:val="0"/>
          <w:sz w:val="22"/>
          <w:szCs w:val="22"/>
        </w:rPr>
        <w:t>” (</w:t>
      </w:r>
      <w:proofErr w:type="spellStart"/>
      <w:r w:rsidRPr="00BA55B5">
        <w:rPr>
          <w:rFonts w:ascii="Arial" w:hAnsi="Arial" w:cs="Arial"/>
          <w:b/>
          <w:bCs w:val="0"/>
          <w:sz w:val="22"/>
          <w:szCs w:val="22"/>
        </w:rPr>
        <w:t>Id.Nr.LDZ</w:t>
      </w:r>
      <w:proofErr w:type="spellEnd"/>
      <w:r w:rsidRPr="00BA55B5">
        <w:rPr>
          <w:rFonts w:ascii="Arial" w:hAnsi="Arial" w:cs="Arial"/>
          <w:b/>
          <w:bCs w:val="0"/>
          <w:sz w:val="22"/>
          <w:szCs w:val="22"/>
        </w:rPr>
        <w:t xml:space="preserve"> 2021/33-IBz)</w:t>
      </w:r>
    </w:p>
    <w:p w14:paraId="4D9B59EE" w14:textId="54BD523A" w:rsidR="00B23F74" w:rsidRPr="00B23F74" w:rsidRDefault="00B23F74" w:rsidP="00B36831">
      <w:pPr>
        <w:pStyle w:val="Nosaukums"/>
        <w:rPr>
          <w:rFonts w:ascii="Arial" w:hAnsi="Arial" w:cs="Arial"/>
          <w:b/>
          <w:color w:val="000000"/>
          <w:sz w:val="22"/>
          <w:szCs w:val="22"/>
        </w:rPr>
      </w:pPr>
      <w:r w:rsidRPr="00BA55B5">
        <w:rPr>
          <w:rFonts w:ascii="Arial" w:hAnsi="Arial" w:cs="Arial"/>
          <w:b/>
          <w:color w:val="000000"/>
          <w:sz w:val="22"/>
          <w:szCs w:val="22"/>
        </w:rPr>
        <w:t>Nolikuma</w:t>
      </w:r>
    </w:p>
    <w:p w14:paraId="5BD5E716" w14:textId="77777777" w:rsidR="00B23F74" w:rsidRPr="00BA55B5" w:rsidRDefault="00B23F74" w:rsidP="00B36831">
      <w:pPr>
        <w:tabs>
          <w:tab w:val="center" w:pos="6979"/>
          <w:tab w:val="left" w:pos="9564"/>
        </w:tabs>
        <w:jc w:val="center"/>
        <w:rPr>
          <w:rFonts w:ascii="Arial" w:hAnsi="Arial" w:cs="Arial"/>
          <w:b/>
          <w:color w:val="000000"/>
          <w:sz w:val="22"/>
          <w:szCs w:val="22"/>
          <w:lang w:val="lv-LV"/>
        </w:rPr>
      </w:pPr>
      <w:r w:rsidRPr="00BA55B5">
        <w:rPr>
          <w:rFonts w:ascii="Arial" w:hAnsi="Arial" w:cs="Arial"/>
          <w:b/>
          <w:color w:val="000000"/>
          <w:sz w:val="22"/>
          <w:szCs w:val="22"/>
          <w:lang w:val="lv-LV"/>
        </w:rPr>
        <w:t>Skaidrojums Nr.1</w:t>
      </w:r>
    </w:p>
    <w:p w14:paraId="380F18D9" w14:textId="77777777" w:rsidR="00B23F74" w:rsidRPr="00BA55B5" w:rsidRDefault="00B23F74" w:rsidP="00B23F74">
      <w:pPr>
        <w:tabs>
          <w:tab w:val="center" w:pos="6979"/>
          <w:tab w:val="left" w:pos="9564"/>
        </w:tabs>
        <w:jc w:val="center"/>
        <w:rPr>
          <w:rFonts w:ascii="Arial" w:hAnsi="Arial" w:cs="Arial"/>
          <w:b/>
          <w:color w:val="000000"/>
          <w:sz w:val="22"/>
          <w:szCs w:val="22"/>
          <w:lang w:val="lv-LV"/>
        </w:rPr>
      </w:pPr>
    </w:p>
    <w:tbl>
      <w:tblPr>
        <w:tblStyle w:val="Reatabula"/>
        <w:tblW w:w="14737" w:type="dxa"/>
        <w:tblInd w:w="0" w:type="dxa"/>
        <w:tblLayout w:type="fixed"/>
        <w:tblLook w:val="04A0" w:firstRow="1" w:lastRow="0" w:firstColumn="1" w:lastColumn="0" w:noHBand="0" w:noVBand="1"/>
      </w:tblPr>
      <w:tblGrid>
        <w:gridCol w:w="5807"/>
        <w:gridCol w:w="8930"/>
      </w:tblGrid>
      <w:tr w:rsidR="00B23F74" w:rsidRPr="00190739" w14:paraId="70137D74" w14:textId="77777777" w:rsidTr="0065736A">
        <w:trPr>
          <w:trHeight w:val="543"/>
        </w:trPr>
        <w:tc>
          <w:tcPr>
            <w:tcW w:w="5807" w:type="dxa"/>
            <w:tcBorders>
              <w:top w:val="single" w:sz="4" w:space="0" w:color="auto"/>
              <w:left w:val="single" w:sz="4" w:space="0" w:color="auto"/>
              <w:bottom w:val="single" w:sz="4" w:space="0" w:color="auto"/>
              <w:right w:val="single" w:sz="4" w:space="0" w:color="auto"/>
            </w:tcBorders>
            <w:shd w:val="clear" w:color="auto" w:fill="FFF2CC"/>
            <w:hideMark/>
          </w:tcPr>
          <w:bookmarkEnd w:id="0"/>
          <w:p w14:paraId="36391F37" w14:textId="77777777" w:rsidR="00B23F74" w:rsidRPr="00190739" w:rsidRDefault="00B23F74" w:rsidP="0065736A">
            <w:pPr>
              <w:jc w:val="center"/>
              <w:rPr>
                <w:rFonts w:ascii="Arial" w:eastAsia="Calibri" w:hAnsi="Arial" w:cs="Arial"/>
                <w:b/>
                <w:i/>
                <w:sz w:val="22"/>
                <w:szCs w:val="22"/>
                <w:lang w:val="lv-LV"/>
              </w:rPr>
            </w:pPr>
            <w:r w:rsidRPr="00190739">
              <w:rPr>
                <w:rFonts w:ascii="Arial" w:eastAsia="Calibri" w:hAnsi="Arial" w:cs="Arial"/>
                <w:b/>
                <w:i/>
                <w:sz w:val="22"/>
                <w:szCs w:val="22"/>
                <w:lang w:val="lv-LV"/>
              </w:rPr>
              <w:t>Jautājums</w:t>
            </w:r>
          </w:p>
        </w:tc>
        <w:tc>
          <w:tcPr>
            <w:tcW w:w="89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86F476A" w14:textId="77777777" w:rsidR="00B23F74" w:rsidRPr="00190739" w:rsidRDefault="00B23F74" w:rsidP="0065736A">
            <w:pPr>
              <w:jc w:val="center"/>
              <w:rPr>
                <w:rFonts w:ascii="Arial" w:eastAsia="Calibri" w:hAnsi="Arial" w:cs="Arial"/>
                <w:b/>
                <w:i/>
                <w:sz w:val="22"/>
                <w:szCs w:val="22"/>
                <w:lang w:val="lv-LV"/>
              </w:rPr>
            </w:pPr>
            <w:r w:rsidRPr="00190739">
              <w:rPr>
                <w:rFonts w:ascii="Arial" w:eastAsia="Calibri" w:hAnsi="Arial" w:cs="Arial"/>
                <w:b/>
                <w:i/>
                <w:sz w:val="22"/>
                <w:szCs w:val="22"/>
                <w:lang w:val="lv-LV"/>
              </w:rPr>
              <w:t>Atbilde</w:t>
            </w:r>
          </w:p>
        </w:tc>
      </w:tr>
      <w:tr w:rsidR="00B23F74" w:rsidRPr="00190739" w14:paraId="3D5CE14F" w14:textId="77777777" w:rsidTr="0065736A">
        <w:trPr>
          <w:trHeight w:val="1393"/>
        </w:trPr>
        <w:tc>
          <w:tcPr>
            <w:tcW w:w="5807" w:type="dxa"/>
            <w:tcBorders>
              <w:top w:val="single" w:sz="4" w:space="0" w:color="auto"/>
              <w:left w:val="single" w:sz="4" w:space="0" w:color="auto"/>
              <w:bottom w:val="single" w:sz="4" w:space="0" w:color="auto"/>
              <w:right w:val="single" w:sz="4" w:space="0" w:color="auto"/>
            </w:tcBorders>
          </w:tcPr>
          <w:p w14:paraId="36C0C413" w14:textId="77777777" w:rsidR="00B23F74" w:rsidRPr="00190739" w:rsidRDefault="00B23F74" w:rsidP="0065736A">
            <w:pPr>
              <w:pStyle w:val="Sarakstarindkopa"/>
              <w:numPr>
                <w:ilvl w:val="0"/>
                <w:numId w:val="1"/>
              </w:numPr>
              <w:spacing w:after="0" w:line="240" w:lineRule="auto"/>
              <w:rPr>
                <w:rFonts w:ascii="Arial" w:eastAsiaTheme="minorHAnsi" w:hAnsi="Arial" w:cs="Arial"/>
                <w:lang w:val="lv-LV"/>
              </w:rPr>
            </w:pPr>
            <w:r w:rsidRPr="00190739">
              <w:rPr>
                <w:rFonts w:ascii="Arial" w:hAnsi="Arial" w:cs="Arial"/>
                <w:lang w:val="lv-LV"/>
              </w:rPr>
              <w:t>Transformatoru apakšstacijas TP-18 modernizācija Rīgā, Gogoļa ielā 3</w:t>
            </w:r>
          </w:p>
          <w:p w14:paraId="1C2EED56" w14:textId="77777777" w:rsidR="00B23F74" w:rsidRPr="00190739" w:rsidRDefault="00B23F74" w:rsidP="0065736A">
            <w:pPr>
              <w:pStyle w:val="Sarakstarindkopa"/>
              <w:spacing w:after="0" w:line="240" w:lineRule="auto"/>
              <w:ind w:left="776" w:firstLine="0"/>
              <w:rPr>
                <w:rFonts w:ascii="Arial" w:hAnsi="Arial" w:cs="Arial"/>
                <w:lang w:val="lv-LV"/>
              </w:rPr>
            </w:pPr>
            <w:r w:rsidRPr="00190739">
              <w:rPr>
                <w:rFonts w:ascii="Arial" w:hAnsi="Arial" w:cs="Arial"/>
                <w:lang w:val="lv-LV"/>
              </w:rPr>
              <w:t xml:space="preserve"> a. Vai ir nepieciešams paredzēt reaktīvas jaudas kompensāciju 0,4kV vai 10kV </w:t>
            </w:r>
            <w:proofErr w:type="spellStart"/>
            <w:r w:rsidRPr="00190739">
              <w:rPr>
                <w:rFonts w:ascii="Arial" w:hAnsi="Arial" w:cs="Arial"/>
                <w:lang w:val="lv-LV"/>
              </w:rPr>
              <w:t>slēgiekārtām</w:t>
            </w:r>
            <w:proofErr w:type="spellEnd"/>
            <w:r w:rsidRPr="00190739">
              <w:rPr>
                <w:rFonts w:ascii="Arial" w:hAnsi="Arial" w:cs="Arial"/>
                <w:lang w:val="lv-LV"/>
              </w:rPr>
              <w:t>?</w:t>
            </w:r>
          </w:p>
          <w:p w14:paraId="4F53CD50" w14:textId="77777777" w:rsidR="00B23F74" w:rsidRPr="00190739" w:rsidRDefault="00B23F74" w:rsidP="0065736A">
            <w:pPr>
              <w:pStyle w:val="Sarakstarindkopa"/>
              <w:spacing w:after="0" w:line="240" w:lineRule="auto"/>
              <w:ind w:left="776" w:firstLine="0"/>
              <w:rPr>
                <w:rFonts w:ascii="Arial" w:hAnsi="Arial" w:cs="Arial"/>
                <w:lang w:val="lv-LV"/>
              </w:rPr>
            </w:pPr>
            <w:r w:rsidRPr="00190739">
              <w:rPr>
                <w:rFonts w:ascii="Arial" w:hAnsi="Arial" w:cs="Arial"/>
                <w:lang w:val="lv-LV"/>
              </w:rPr>
              <w:t xml:space="preserve"> b. Lūdzam precizēt nepārtrauktās barošanas avota 110V DC autonomijas laiku.</w:t>
            </w:r>
          </w:p>
          <w:p w14:paraId="5CF8646E" w14:textId="77777777" w:rsidR="00B23F74" w:rsidRPr="00190739" w:rsidRDefault="00B23F74" w:rsidP="0065736A">
            <w:pPr>
              <w:pStyle w:val="Sarakstarindkopa"/>
              <w:spacing w:after="0" w:line="240" w:lineRule="auto"/>
              <w:ind w:left="776" w:firstLine="0"/>
              <w:rPr>
                <w:rFonts w:ascii="Arial" w:eastAsiaTheme="minorHAnsi" w:hAnsi="Arial" w:cs="Arial"/>
                <w:lang w:val="lv-LV"/>
              </w:rPr>
            </w:pPr>
            <w:r w:rsidRPr="00190739">
              <w:rPr>
                <w:rFonts w:ascii="Arial" w:hAnsi="Arial" w:cs="Arial"/>
                <w:lang w:val="lv-LV"/>
              </w:rPr>
              <w:t xml:space="preserve"> c. Atsaucoties uz p.1.3.3 lūdzam precizēt, vai kabeļu un ievadu aizsardzība tiks nodrošināta citā apakšstacijā (TP-0171) un vai tādā gadījumā ir jāparedz TP-18 komutācijas aparātu automātisko atslēgšanu TP-0171 uz TP18 aizejošo </w:t>
            </w:r>
            <w:proofErr w:type="spellStart"/>
            <w:r w:rsidRPr="00190739">
              <w:rPr>
                <w:rFonts w:ascii="Arial" w:hAnsi="Arial" w:cs="Arial"/>
                <w:lang w:val="lv-LV"/>
              </w:rPr>
              <w:t>fideru</w:t>
            </w:r>
            <w:proofErr w:type="spellEnd"/>
            <w:r w:rsidRPr="00190739">
              <w:rPr>
                <w:rFonts w:ascii="Arial" w:hAnsi="Arial" w:cs="Arial"/>
                <w:lang w:val="lv-LV"/>
              </w:rPr>
              <w:t xml:space="preserve"> RAA </w:t>
            </w:r>
            <w:proofErr w:type="spellStart"/>
            <w:r w:rsidRPr="00190739">
              <w:rPr>
                <w:rFonts w:ascii="Arial" w:hAnsi="Arial" w:cs="Arial"/>
                <w:lang w:val="lv-LV"/>
              </w:rPr>
              <w:t>nostrādes</w:t>
            </w:r>
            <w:proofErr w:type="spellEnd"/>
            <w:r w:rsidRPr="00190739">
              <w:rPr>
                <w:rFonts w:ascii="Arial" w:hAnsi="Arial" w:cs="Arial"/>
                <w:lang w:val="lv-LV"/>
              </w:rPr>
              <w:t xml:space="preserve"> gadījumā? Lūdzam izsniegt TP-0171 un TP-18 elektroapgādes shēmu.</w:t>
            </w:r>
          </w:p>
        </w:tc>
        <w:tc>
          <w:tcPr>
            <w:tcW w:w="8930" w:type="dxa"/>
            <w:tcBorders>
              <w:top w:val="single" w:sz="4" w:space="0" w:color="auto"/>
              <w:left w:val="single" w:sz="4" w:space="0" w:color="auto"/>
              <w:bottom w:val="single" w:sz="4" w:space="0" w:color="auto"/>
              <w:right w:val="single" w:sz="4" w:space="0" w:color="auto"/>
            </w:tcBorders>
          </w:tcPr>
          <w:p w14:paraId="4031BF28"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a. Reaktīvas jaudas kompensācijas iekārtas nav jāparedz.</w:t>
            </w:r>
          </w:p>
          <w:p w14:paraId="4F7F2A49"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b. Nepārtrauktās barošanas avota 110V DC autonomijas laiks – 8 stundas.</w:t>
            </w:r>
          </w:p>
          <w:p w14:paraId="5C861AAB"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 xml:space="preserve">c. Apliecinām, ka TP-18 ievada kabeļi ir aizsargāti barojoša TP-0171, un TP-18 ievada slēdžiem nav jāatslēdzas pie RAA </w:t>
            </w:r>
            <w:proofErr w:type="spellStart"/>
            <w:r w:rsidRPr="00190739">
              <w:rPr>
                <w:rFonts w:ascii="Arial" w:hAnsi="Arial" w:cs="Arial"/>
                <w:sz w:val="22"/>
                <w:szCs w:val="22"/>
                <w:lang w:val="lv-LV"/>
              </w:rPr>
              <w:t>nostrādes</w:t>
            </w:r>
            <w:proofErr w:type="spellEnd"/>
            <w:r w:rsidRPr="00190739">
              <w:rPr>
                <w:rFonts w:ascii="Arial" w:hAnsi="Arial" w:cs="Arial"/>
                <w:sz w:val="22"/>
                <w:szCs w:val="22"/>
                <w:lang w:val="lv-LV"/>
              </w:rPr>
              <w:t xml:space="preserve"> TP-0171, tādai funkcijai saskaņa ar TN jābūt T-1 un T-2 ar sprieguma kontrole 0,4 </w:t>
            </w:r>
            <w:proofErr w:type="spellStart"/>
            <w:r w:rsidRPr="00190739">
              <w:rPr>
                <w:rFonts w:ascii="Arial" w:hAnsi="Arial" w:cs="Arial"/>
                <w:sz w:val="22"/>
                <w:szCs w:val="22"/>
                <w:lang w:val="lv-LV"/>
              </w:rPr>
              <w:t>kV</w:t>
            </w:r>
            <w:proofErr w:type="spellEnd"/>
            <w:r w:rsidRPr="00190739">
              <w:rPr>
                <w:rFonts w:ascii="Arial" w:hAnsi="Arial" w:cs="Arial"/>
                <w:sz w:val="22"/>
                <w:szCs w:val="22"/>
                <w:lang w:val="lv-LV"/>
              </w:rPr>
              <w:t xml:space="preserve"> pusē. TP-18 shēma ir pievienotā tehniskajam uzdevumam, bet TP-0171 shēma nav nepieciešama piedāvājuma sagatavošanai. </w:t>
            </w:r>
          </w:p>
          <w:p w14:paraId="1FB9FE65" w14:textId="77777777" w:rsidR="00B23F74" w:rsidRPr="00190739" w:rsidRDefault="00B23F74" w:rsidP="0065736A">
            <w:pPr>
              <w:rPr>
                <w:rFonts w:ascii="Arial" w:hAnsi="Arial" w:cs="Arial"/>
                <w:color w:val="333333"/>
                <w:sz w:val="22"/>
                <w:szCs w:val="22"/>
                <w:shd w:val="clear" w:color="auto" w:fill="FFFFFF"/>
                <w:lang w:val="lv-LV"/>
              </w:rPr>
            </w:pPr>
            <w:r w:rsidRPr="00190739">
              <w:rPr>
                <w:rFonts w:ascii="Arial" w:hAnsi="Arial" w:cs="Arial"/>
                <w:b/>
                <w:sz w:val="22"/>
                <w:szCs w:val="22"/>
                <w:u w:val="single"/>
                <w:lang w:val="lv-LV"/>
              </w:rPr>
              <w:br w:type="page"/>
            </w:r>
          </w:p>
          <w:p w14:paraId="3D612E3A" w14:textId="77777777" w:rsidR="00B23F74" w:rsidRPr="00190739" w:rsidRDefault="00B23F74" w:rsidP="0065736A">
            <w:pPr>
              <w:rPr>
                <w:rFonts w:ascii="Arial" w:hAnsi="Arial" w:cs="Arial"/>
                <w:color w:val="333333"/>
                <w:sz w:val="22"/>
                <w:szCs w:val="22"/>
                <w:shd w:val="clear" w:color="auto" w:fill="FFFFFF"/>
                <w:lang w:val="lv-LV"/>
              </w:rPr>
            </w:pPr>
          </w:p>
          <w:p w14:paraId="54373020" w14:textId="77777777" w:rsidR="00B23F74" w:rsidRPr="00190739" w:rsidRDefault="00B23F74" w:rsidP="0065736A">
            <w:pPr>
              <w:ind w:firstLine="708"/>
              <w:rPr>
                <w:rFonts w:ascii="Arial" w:hAnsi="Arial" w:cs="Arial"/>
                <w:color w:val="000000"/>
                <w:sz w:val="22"/>
                <w:szCs w:val="22"/>
                <w:lang w:val="lv-LV"/>
              </w:rPr>
            </w:pPr>
          </w:p>
          <w:p w14:paraId="643E1949" w14:textId="77777777" w:rsidR="00B23F74" w:rsidRPr="00190739" w:rsidRDefault="00B23F74" w:rsidP="0065736A">
            <w:pPr>
              <w:pStyle w:val="Parakstszemobjekta"/>
              <w:spacing w:after="0"/>
              <w:jc w:val="center"/>
              <w:rPr>
                <w:rFonts w:ascii="Arial" w:hAnsi="Arial" w:cs="Arial"/>
                <w:color w:val="000000"/>
                <w:sz w:val="22"/>
                <w:szCs w:val="22"/>
              </w:rPr>
            </w:pPr>
          </w:p>
        </w:tc>
      </w:tr>
      <w:tr w:rsidR="00B23F74" w:rsidRPr="00190739" w14:paraId="7A471C3E" w14:textId="77777777" w:rsidTr="0065736A">
        <w:trPr>
          <w:trHeight w:val="700"/>
        </w:trPr>
        <w:tc>
          <w:tcPr>
            <w:tcW w:w="5807" w:type="dxa"/>
            <w:tcBorders>
              <w:top w:val="single" w:sz="4" w:space="0" w:color="auto"/>
              <w:left w:val="single" w:sz="4" w:space="0" w:color="auto"/>
              <w:bottom w:val="single" w:sz="4" w:space="0" w:color="auto"/>
              <w:right w:val="single" w:sz="4" w:space="0" w:color="auto"/>
            </w:tcBorders>
          </w:tcPr>
          <w:p w14:paraId="2F3C5ABC" w14:textId="77777777" w:rsidR="00B23F74" w:rsidRPr="00190739" w:rsidRDefault="00B23F74" w:rsidP="0065736A">
            <w:pPr>
              <w:pStyle w:val="Sarakstarindkopa"/>
              <w:numPr>
                <w:ilvl w:val="0"/>
                <w:numId w:val="1"/>
              </w:numPr>
              <w:spacing w:after="0" w:line="240" w:lineRule="auto"/>
              <w:rPr>
                <w:rFonts w:ascii="Arial" w:hAnsi="Arial" w:cs="Arial"/>
                <w:b/>
                <w:lang w:val="lv-LV"/>
              </w:rPr>
            </w:pPr>
            <w:r w:rsidRPr="00190739">
              <w:rPr>
                <w:rFonts w:ascii="Arial" w:hAnsi="Arial" w:cs="Arial"/>
                <w:lang w:val="lv-LV"/>
              </w:rPr>
              <w:t>Transformatoru apakšstacijas TP-8213 modernizācija, Ludzā, Stacijas ielā 90</w:t>
            </w:r>
          </w:p>
          <w:p w14:paraId="39719944" w14:textId="77777777" w:rsidR="00B23F74" w:rsidRPr="00190739" w:rsidRDefault="00B23F74" w:rsidP="0065736A">
            <w:pPr>
              <w:pStyle w:val="Sarakstarindkopa"/>
              <w:spacing w:after="0" w:line="240" w:lineRule="auto"/>
              <w:ind w:left="776" w:firstLine="0"/>
              <w:rPr>
                <w:rFonts w:ascii="Arial" w:hAnsi="Arial" w:cs="Arial"/>
                <w:lang w:val="lv-LV"/>
              </w:rPr>
            </w:pPr>
            <w:r w:rsidRPr="00190739">
              <w:rPr>
                <w:rFonts w:ascii="Arial" w:hAnsi="Arial" w:cs="Arial"/>
                <w:lang w:val="lv-LV"/>
              </w:rPr>
              <w:t xml:space="preserve"> a. Vai ir jāparedz 110V DC nepārtrauktas barošanas avots apakšstacijas iekārtu un SCADA iekārtu barošanai? Ja ir nepieciešams, lūdzam precizēt nepārtrauktās barošanas avota 110V DC autonomijas laiku.</w:t>
            </w:r>
          </w:p>
          <w:p w14:paraId="56119DAB" w14:textId="77777777" w:rsidR="00B23F74" w:rsidRPr="00190739" w:rsidRDefault="00B23F74" w:rsidP="0065736A">
            <w:pPr>
              <w:pStyle w:val="Sarakstarindkopa"/>
              <w:spacing w:after="0" w:line="240" w:lineRule="auto"/>
              <w:ind w:left="776" w:firstLine="0"/>
              <w:rPr>
                <w:rFonts w:ascii="Arial" w:hAnsi="Arial" w:cs="Arial"/>
                <w:b/>
                <w:lang w:val="lv-LV"/>
              </w:rPr>
            </w:pPr>
            <w:r w:rsidRPr="00190739">
              <w:rPr>
                <w:rFonts w:ascii="Arial" w:hAnsi="Arial" w:cs="Arial"/>
                <w:lang w:val="lv-LV"/>
              </w:rPr>
              <w:t xml:space="preserve"> b. Vai ir nepieciešams paredzēt reaktīvas jaudas kompensāciju 0,4kV vai 10kV </w:t>
            </w:r>
            <w:proofErr w:type="spellStart"/>
            <w:r w:rsidRPr="00190739">
              <w:rPr>
                <w:rFonts w:ascii="Arial" w:hAnsi="Arial" w:cs="Arial"/>
                <w:lang w:val="lv-LV"/>
              </w:rPr>
              <w:t>slēgiekārtām</w:t>
            </w:r>
            <w:proofErr w:type="spellEnd"/>
            <w:r w:rsidRPr="00190739">
              <w:rPr>
                <w:rFonts w:ascii="Arial" w:hAnsi="Arial" w:cs="Arial"/>
                <w:lang w:val="lv-LV"/>
              </w:rPr>
              <w:t xml:space="preserve">? </w:t>
            </w:r>
          </w:p>
        </w:tc>
        <w:tc>
          <w:tcPr>
            <w:tcW w:w="8930" w:type="dxa"/>
            <w:tcBorders>
              <w:top w:val="single" w:sz="4" w:space="0" w:color="auto"/>
              <w:left w:val="single" w:sz="4" w:space="0" w:color="auto"/>
              <w:bottom w:val="single" w:sz="4" w:space="0" w:color="auto"/>
              <w:right w:val="single" w:sz="4" w:space="0" w:color="auto"/>
            </w:tcBorders>
          </w:tcPr>
          <w:p w14:paraId="7CDA8C66"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a. Jā, jāparedz 110V DC nepārtrauktas barošanas avots apakšstacijas iekārtu un SCADA iekārtu barošanai. Nepārtrauktās barošanas avota 110V DC autonomijas laiks – 8 stundas.</w:t>
            </w:r>
          </w:p>
          <w:p w14:paraId="674918BE"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b. Reaktīvas jaudas kompensācijas iekārtas nav jāparedz.</w:t>
            </w:r>
          </w:p>
        </w:tc>
      </w:tr>
      <w:tr w:rsidR="00B23F74" w:rsidRPr="00190739" w14:paraId="2E777A67" w14:textId="77777777" w:rsidTr="0065736A">
        <w:trPr>
          <w:trHeight w:val="993"/>
        </w:trPr>
        <w:tc>
          <w:tcPr>
            <w:tcW w:w="5807" w:type="dxa"/>
            <w:tcBorders>
              <w:top w:val="single" w:sz="4" w:space="0" w:color="auto"/>
              <w:left w:val="single" w:sz="4" w:space="0" w:color="auto"/>
              <w:bottom w:val="single" w:sz="4" w:space="0" w:color="auto"/>
              <w:right w:val="single" w:sz="4" w:space="0" w:color="auto"/>
            </w:tcBorders>
          </w:tcPr>
          <w:p w14:paraId="151373F5" w14:textId="77777777" w:rsidR="00B23F74" w:rsidRPr="00190739" w:rsidRDefault="00B23F74" w:rsidP="0065736A">
            <w:pPr>
              <w:pStyle w:val="Sarakstarindkopa"/>
              <w:numPr>
                <w:ilvl w:val="0"/>
                <w:numId w:val="1"/>
              </w:numPr>
              <w:spacing w:after="0" w:line="240" w:lineRule="auto"/>
              <w:rPr>
                <w:rFonts w:ascii="Arial" w:hAnsi="Arial" w:cs="Arial"/>
                <w:b/>
                <w:lang w:val="lv-LV"/>
              </w:rPr>
            </w:pPr>
            <w:r w:rsidRPr="00190739">
              <w:rPr>
                <w:rFonts w:ascii="Arial" w:hAnsi="Arial" w:cs="Arial"/>
                <w:lang w:val="lv-LV"/>
              </w:rPr>
              <w:t>Transformatoru apakšstacijas TP-9125 modernizācija, Depo iela 23, Ventspilī</w:t>
            </w:r>
          </w:p>
          <w:p w14:paraId="2654342E" w14:textId="77777777" w:rsidR="00B23F74" w:rsidRPr="00190739" w:rsidRDefault="00B23F74" w:rsidP="0065736A">
            <w:pPr>
              <w:pStyle w:val="Sarakstarindkopa"/>
              <w:spacing w:after="0" w:line="240" w:lineRule="auto"/>
              <w:ind w:left="776" w:firstLine="0"/>
              <w:rPr>
                <w:rFonts w:ascii="Arial" w:hAnsi="Arial" w:cs="Arial"/>
                <w:lang w:val="lv-LV"/>
              </w:rPr>
            </w:pPr>
            <w:r w:rsidRPr="00190739">
              <w:rPr>
                <w:rFonts w:ascii="Arial" w:hAnsi="Arial" w:cs="Arial"/>
                <w:lang w:val="lv-LV"/>
              </w:rPr>
              <w:t xml:space="preserve"> a. Vai ir jāparedz 110V DC nepārtrauktas barošanas avots apakšstacijas iekārtu un </w:t>
            </w:r>
            <w:r w:rsidRPr="00190739">
              <w:rPr>
                <w:rFonts w:ascii="Arial" w:hAnsi="Arial" w:cs="Arial"/>
                <w:lang w:val="lv-LV"/>
              </w:rPr>
              <w:lastRenderedPageBreak/>
              <w:t>SCADA iekārtu barošanai? Ja ir nepieciešams, lūdzam precizēt nepārtrauktās barošanas avota 110V DC autonomijas laiku.</w:t>
            </w:r>
          </w:p>
          <w:p w14:paraId="076288B4" w14:textId="77777777" w:rsidR="00B23F74" w:rsidRPr="00190739" w:rsidRDefault="00B23F74" w:rsidP="0065736A">
            <w:pPr>
              <w:pStyle w:val="Sarakstarindkopa"/>
              <w:spacing w:after="0" w:line="240" w:lineRule="auto"/>
              <w:ind w:left="776" w:firstLine="0"/>
              <w:rPr>
                <w:rFonts w:ascii="Arial" w:hAnsi="Arial" w:cs="Arial"/>
                <w:b/>
                <w:lang w:val="lv-LV"/>
              </w:rPr>
            </w:pPr>
            <w:r w:rsidRPr="00190739">
              <w:rPr>
                <w:rFonts w:ascii="Arial" w:hAnsi="Arial" w:cs="Arial"/>
                <w:lang w:val="lv-LV"/>
              </w:rPr>
              <w:t xml:space="preserve"> b. Vai ir nepieciešams paredzēt reaktīvas jaudas kompensāciju 0,4kV vai 10kV </w:t>
            </w:r>
            <w:proofErr w:type="spellStart"/>
            <w:r w:rsidRPr="00190739">
              <w:rPr>
                <w:rFonts w:ascii="Arial" w:hAnsi="Arial" w:cs="Arial"/>
                <w:lang w:val="lv-LV"/>
              </w:rPr>
              <w:t>slēgiekārtām</w:t>
            </w:r>
            <w:proofErr w:type="spellEnd"/>
            <w:r w:rsidRPr="00190739">
              <w:rPr>
                <w:rFonts w:ascii="Arial" w:hAnsi="Arial" w:cs="Arial"/>
                <w:lang w:val="lv-LV"/>
              </w:rPr>
              <w:t>?</w:t>
            </w:r>
          </w:p>
        </w:tc>
        <w:tc>
          <w:tcPr>
            <w:tcW w:w="8930" w:type="dxa"/>
            <w:tcBorders>
              <w:top w:val="single" w:sz="4" w:space="0" w:color="auto"/>
              <w:left w:val="single" w:sz="4" w:space="0" w:color="auto"/>
              <w:bottom w:val="single" w:sz="4" w:space="0" w:color="auto"/>
              <w:right w:val="single" w:sz="4" w:space="0" w:color="auto"/>
            </w:tcBorders>
          </w:tcPr>
          <w:p w14:paraId="6A231982"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lastRenderedPageBreak/>
              <w:t>a. TP-9125 jau ir uzstādīts nepārtrauktas barošanas avots, jaunā nepārtrauktas barošanas avota uzstādīšana nav nepieciešama.</w:t>
            </w:r>
          </w:p>
          <w:p w14:paraId="5F96924D"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b. Reaktīvas jaudas kompensācijas iekārtas nav jāparedz.</w:t>
            </w:r>
          </w:p>
        </w:tc>
      </w:tr>
      <w:tr w:rsidR="00B23F74" w:rsidRPr="00190739" w14:paraId="49617279" w14:textId="77777777" w:rsidTr="0065736A">
        <w:trPr>
          <w:trHeight w:val="554"/>
        </w:trPr>
        <w:tc>
          <w:tcPr>
            <w:tcW w:w="5807" w:type="dxa"/>
            <w:tcBorders>
              <w:top w:val="single" w:sz="4" w:space="0" w:color="auto"/>
              <w:left w:val="single" w:sz="4" w:space="0" w:color="auto"/>
              <w:bottom w:val="single" w:sz="4" w:space="0" w:color="auto"/>
              <w:right w:val="single" w:sz="4" w:space="0" w:color="auto"/>
            </w:tcBorders>
          </w:tcPr>
          <w:p w14:paraId="389F8082" w14:textId="77777777" w:rsidR="00B23F74" w:rsidRPr="00190739" w:rsidRDefault="00B23F74" w:rsidP="0065736A">
            <w:pPr>
              <w:pStyle w:val="Sarakstarindkopa"/>
              <w:numPr>
                <w:ilvl w:val="0"/>
                <w:numId w:val="1"/>
              </w:numPr>
              <w:spacing w:after="0" w:line="240" w:lineRule="auto"/>
              <w:rPr>
                <w:rFonts w:ascii="Arial" w:hAnsi="Arial" w:cs="Arial"/>
                <w:b/>
                <w:lang w:val="lv-LV"/>
              </w:rPr>
            </w:pPr>
            <w:r w:rsidRPr="00190739">
              <w:rPr>
                <w:rFonts w:ascii="Arial" w:hAnsi="Arial" w:cs="Arial"/>
                <w:lang w:val="lv-LV"/>
              </w:rPr>
              <w:t>10/20kV SI specifikācijas visiem objektiem</w:t>
            </w:r>
          </w:p>
          <w:p w14:paraId="5A11D2D1" w14:textId="77777777" w:rsidR="00B23F74" w:rsidRPr="00190739" w:rsidRDefault="00B23F74" w:rsidP="0065736A">
            <w:pPr>
              <w:pStyle w:val="Sarakstarindkopa"/>
              <w:spacing w:after="0" w:line="240" w:lineRule="auto"/>
              <w:ind w:left="776" w:firstLine="0"/>
              <w:rPr>
                <w:rFonts w:ascii="Arial" w:hAnsi="Arial" w:cs="Arial"/>
                <w:lang w:val="lv-LV"/>
              </w:rPr>
            </w:pPr>
            <w:r w:rsidRPr="00190739">
              <w:rPr>
                <w:rFonts w:ascii="Arial" w:hAnsi="Arial" w:cs="Arial"/>
                <w:lang w:val="lv-LV"/>
              </w:rPr>
              <w:t xml:space="preserve"> a. Ievērojot, ka dažādiem iepirkuma objektiem atšķiras prasības 10/20kV SI, lūdzam apstiprināt ka visam apakšstacijām ir jāparedz 10/20kV SI ar IAC A FLR saskaņā ar IEC 62271;</w:t>
            </w:r>
          </w:p>
          <w:p w14:paraId="78D182B9" w14:textId="77777777" w:rsidR="00B23F74" w:rsidRPr="00190739" w:rsidRDefault="00B23F74" w:rsidP="0065736A">
            <w:pPr>
              <w:pStyle w:val="Sarakstarindkopa"/>
              <w:spacing w:after="0" w:line="240" w:lineRule="auto"/>
              <w:ind w:left="776" w:firstLine="0"/>
              <w:rPr>
                <w:rFonts w:ascii="Arial" w:hAnsi="Arial" w:cs="Arial"/>
                <w:b/>
                <w:lang w:val="lv-LV"/>
              </w:rPr>
            </w:pPr>
            <w:r w:rsidRPr="00190739">
              <w:rPr>
                <w:rFonts w:ascii="Arial" w:hAnsi="Arial" w:cs="Arial"/>
                <w:lang w:val="lv-LV"/>
              </w:rPr>
              <w:t xml:space="preserve"> b. Ievērojot, ka dažādiem iepirkuma objektiem atšķiras prasības 10/20kV SI, lūgums precizēt vai drīkst aizvietot pieprasītos 10kV vakuuma jaudas slēdžus ar citas tehnoloģijas slēdžiem (tehnoloģija līdzīga slodzes slēdžiem) kuriem ir 2-3 īsslēguma atslēgšanas reizes, nevis 20 īsslēguma atslēgšanas reizes, kā pieprasīts nolikuma specifikācijā. Vai visām apakšstacijām ir jāparedz vienādās konstrukcijas 10/20kV SI ar vienādās konstrukcijas un raksturojumus jaudas slēdžiem? </w:t>
            </w:r>
          </w:p>
        </w:tc>
        <w:tc>
          <w:tcPr>
            <w:tcW w:w="8930" w:type="dxa"/>
            <w:tcBorders>
              <w:top w:val="single" w:sz="4" w:space="0" w:color="auto"/>
              <w:left w:val="single" w:sz="4" w:space="0" w:color="auto"/>
              <w:bottom w:val="single" w:sz="4" w:space="0" w:color="auto"/>
              <w:right w:val="single" w:sz="4" w:space="0" w:color="auto"/>
            </w:tcBorders>
          </w:tcPr>
          <w:p w14:paraId="1890FB81"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a. Apstiprinām ka visam apakšstacijām ir jāparedz 10/20kV SI ar IAC A FLR saskaņā ar IEC 62271;</w:t>
            </w:r>
          </w:p>
          <w:p w14:paraId="0D0D46ED"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b. Nedrīkst aizvietot pieprasītos 10kV vakuuma jaudas slēdžus ar citas tehnoloģijas slēdžiem.</w:t>
            </w:r>
          </w:p>
          <w:p w14:paraId="5166BB60" w14:textId="77777777" w:rsidR="00B23F74" w:rsidRPr="00190739" w:rsidRDefault="00B23F74" w:rsidP="0065736A">
            <w:pPr>
              <w:rPr>
                <w:rFonts w:ascii="Arial" w:hAnsi="Arial" w:cs="Arial"/>
                <w:sz w:val="22"/>
                <w:szCs w:val="22"/>
                <w:lang w:val="lv-LV"/>
              </w:rPr>
            </w:pPr>
          </w:p>
          <w:p w14:paraId="6D2F4470" w14:textId="77777777" w:rsidR="00B23F74" w:rsidRPr="00190739" w:rsidRDefault="00B23F74" w:rsidP="0065736A">
            <w:pPr>
              <w:rPr>
                <w:rFonts w:ascii="Arial" w:hAnsi="Arial" w:cs="Arial"/>
                <w:sz w:val="22"/>
                <w:szCs w:val="22"/>
                <w:lang w:val="lv-LV"/>
              </w:rPr>
            </w:pPr>
          </w:p>
        </w:tc>
      </w:tr>
      <w:tr w:rsidR="00B23F74" w:rsidRPr="00190739" w14:paraId="1756108D" w14:textId="77777777" w:rsidTr="0065736A">
        <w:trPr>
          <w:trHeight w:val="554"/>
        </w:trPr>
        <w:tc>
          <w:tcPr>
            <w:tcW w:w="5807" w:type="dxa"/>
            <w:tcBorders>
              <w:top w:val="single" w:sz="4" w:space="0" w:color="auto"/>
              <w:left w:val="single" w:sz="4" w:space="0" w:color="auto"/>
              <w:bottom w:val="single" w:sz="4" w:space="0" w:color="auto"/>
              <w:right w:val="single" w:sz="4" w:space="0" w:color="auto"/>
            </w:tcBorders>
          </w:tcPr>
          <w:p w14:paraId="3A717A7A" w14:textId="77777777" w:rsidR="00B23F74" w:rsidRPr="00190739" w:rsidRDefault="00B23F74" w:rsidP="0065736A">
            <w:pPr>
              <w:pStyle w:val="Sarakstarindkopa"/>
              <w:numPr>
                <w:ilvl w:val="0"/>
                <w:numId w:val="1"/>
              </w:numPr>
              <w:spacing w:after="0" w:line="240" w:lineRule="auto"/>
              <w:rPr>
                <w:rFonts w:ascii="Arial" w:hAnsi="Arial" w:cs="Arial"/>
                <w:lang w:val="lv-LV"/>
              </w:rPr>
            </w:pPr>
            <w:r w:rsidRPr="00190739">
              <w:rPr>
                <w:rFonts w:ascii="Arial" w:hAnsi="Arial" w:cs="Arial"/>
                <w:lang w:val="lv-LV"/>
              </w:rPr>
              <w:t>Ievērojot nepieciešamību piedāvājuma sagatavošanai saņemt atbildes uz uzdotiem jautājumiem, ka arī to faktu, ka ievērojot 2020. gada 9. jūnija Ministru kabineta noteikumos Nr. 360 “Epidemioloģiskās drošības pasākumi Covid-19 infekcijas izplatības ierobežošanai” noteikto ar mērķi ierobežot straujo Covid-19 infekcijas izplatīšanos, spēkā esošo epidemioloģisko ierobežojumu ietvaros uzņēmumi nevar pilnā apjomā nodrošināt darbu klātienē, kas apgrūtina ikdienas operatīvo darbu izpildi, sarunu procedūras piedāvājuma sagatavošana un iesniegšana līdz 2021. gada 20. jūlijam nav neiespējama. Ar šo lūdzam Iepirkuma komisiju izskatīt iespēju pagarināt sarunu procedūras piedāvājumu iesniegšanas termiņu par 15 (piecpadsmit) dienām.</w:t>
            </w:r>
          </w:p>
        </w:tc>
        <w:tc>
          <w:tcPr>
            <w:tcW w:w="8930" w:type="dxa"/>
            <w:tcBorders>
              <w:top w:val="single" w:sz="4" w:space="0" w:color="auto"/>
              <w:left w:val="single" w:sz="4" w:space="0" w:color="auto"/>
              <w:bottom w:val="single" w:sz="4" w:space="0" w:color="auto"/>
              <w:right w:val="single" w:sz="4" w:space="0" w:color="auto"/>
            </w:tcBorders>
          </w:tcPr>
          <w:p w14:paraId="2E747117"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Iepirkuma komisija atbildes sniedz sarunu procedūras nolikuma 1.4.5.punktā paredzētajā laikā.</w:t>
            </w:r>
          </w:p>
          <w:p w14:paraId="44233FDE" w14:textId="77777777" w:rsidR="00B23F74" w:rsidRPr="00190739" w:rsidRDefault="00B23F74" w:rsidP="0065736A">
            <w:pPr>
              <w:rPr>
                <w:rFonts w:ascii="Arial" w:hAnsi="Arial" w:cs="Arial"/>
                <w:sz w:val="22"/>
                <w:szCs w:val="22"/>
                <w:lang w:val="lv-LV"/>
              </w:rPr>
            </w:pPr>
            <w:r w:rsidRPr="00190739">
              <w:rPr>
                <w:rFonts w:ascii="Arial" w:hAnsi="Arial" w:cs="Arial"/>
                <w:sz w:val="22"/>
                <w:szCs w:val="22"/>
                <w:lang w:val="lv-LV"/>
              </w:rPr>
              <w:t>Piedāvājumu iesniegšanas termiņš netiks pagarināts, jo nolikuma 2.6.1.punkts paredz līguma izpildes termiņu:</w:t>
            </w:r>
            <w:r w:rsidRPr="00190739">
              <w:rPr>
                <w:rFonts w:ascii="Arial" w:hAnsi="Arial" w:cs="Arial"/>
                <w:bCs/>
                <w:sz w:val="22"/>
                <w:szCs w:val="22"/>
                <w:lang w:val="lv-LV"/>
              </w:rPr>
              <w:t xml:space="preserve"> darbu izpildi līdz 2021.gada 30.decembrim.</w:t>
            </w:r>
          </w:p>
        </w:tc>
      </w:tr>
    </w:tbl>
    <w:p w14:paraId="68FC7373" w14:textId="36996673" w:rsidR="00800C04" w:rsidRPr="00B36831" w:rsidRDefault="00800C04">
      <w:pPr>
        <w:rPr>
          <w:rFonts w:ascii="Arial" w:hAnsi="Arial" w:cs="Arial"/>
          <w:caps/>
          <w:sz w:val="22"/>
          <w:szCs w:val="22"/>
          <w:lang w:val="lv-LV"/>
        </w:rPr>
      </w:pPr>
    </w:p>
    <w:sectPr w:rsidR="00800C04" w:rsidRPr="00B36831" w:rsidSect="0098055D">
      <w:pgSz w:w="16838" w:h="11906" w:orient="landscape"/>
      <w:pgMar w:top="993"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C3CD7"/>
    <w:multiLevelType w:val="hybridMultilevel"/>
    <w:tmpl w:val="DE141FB4"/>
    <w:lvl w:ilvl="0" w:tplc="AB3EF096">
      <w:start w:val="1"/>
      <w:numFmt w:val="decimal"/>
      <w:lvlText w:val="%1."/>
      <w:lvlJc w:val="left"/>
      <w:pPr>
        <w:ind w:left="776" w:hanging="360"/>
      </w:pPr>
      <w:rPr>
        <w:rFonts w:ascii="Arial" w:eastAsia="Times New Roman" w:hAnsi="Arial" w:cs="Arial" w:hint="default"/>
        <w:b/>
        <w:bCs/>
      </w:rPr>
    </w:lvl>
    <w:lvl w:ilvl="1" w:tplc="04260019" w:tentative="1">
      <w:start w:val="1"/>
      <w:numFmt w:val="lowerLetter"/>
      <w:lvlText w:val="%2."/>
      <w:lvlJc w:val="left"/>
      <w:pPr>
        <w:ind w:left="1496" w:hanging="360"/>
      </w:pPr>
    </w:lvl>
    <w:lvl w:ilvl="2" w:tplc="0426001B" w:tentative="1">
      <w:start w:val="1"/>
      <w:numFmt w:val="lowerRoman"/>
      <w:lvlText w:val="%3."/>
      <w:lvlJc w:val="right"/>
      <w:pPr>
        <w:ind w:left="2216" w:hanging="180"/>
      </w:pPr>
    </w:lvl>
    <w:lvl w:ilvl="3" w:tplc="0426000F" w:tentative="1">
      <w:start w:val="1"/>
      <w:numFmt w:val="decimal"/>
      <w:lvlText w:val="%4."/>
      <w:lvlJc w:val="left"/>
      <w:pPr>
        <w:ind w:left="2936" w:hanging="360"/>
      </w:pPr>
    </w:lvl>
    <w:lvl w:ilvl="4" w:tplc="04260019" w:tentative="1">
      <w:start w:val="1"/>
      <w:numFmt w:val="lowerLetter"/>
      <w:lvlText w:val="%5."/>
      <w:lvlJc w:val="left"/>
      <w:pPr>
        <w:ind w:left="3656" w:hanging="360"/>
      </w:pPr>
    </w:lvl>
    <w:lvl w:ilvl="5" w:tplc="0426001B" w:tentative="1">
      <w:start w:val="1"/>
      <w:numFmt w:val="lowerRoman"/>
      <w:lvlText w:val="%6."/>
      <w:lvlJc w:val="right"/>
      <w:pPr>
        <w:ind w:left="4376" w:hanging="180"/>
      </w:pPr>
    </w:lvl>
    <w:lvl w:ilvl="6" w:tplc="0426000F" w:tentative="1">
      <w:start w:val="1"/>
      <w:numFmt w:val="decimal"/>
      <w:lvlText w:val="%7."/>
      <w:lvlJc w:val="left"/>
      <w:pPr>
        <w:ind w:left="5096" w:hanging="360"/>
      </w:pPr>
    </w:lvl>
    <w:lvl w:ilvl="7" w:tplc="04260019" w:tentative="1">
      <w:start w:val="1"/>
      <w:numFmt w:val="lowerLetter"/>
      <w:lvlText w:val="%8."/>
      <w:lvlJc w:val="left"/>
      <w:pPr>
        <w:ind w:left="5816" w:hanging="360"/>
      </w:pPr>
    </w:lvl>
    <w:lvl w:ilvl="8" w:tplc="0426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0A"/>
    <w:rsid w:val="00800C04"/>
    <w:rsid w:val="008B71E5"/>
    <w:rsid w:val="00B23F74"/>
    <w:rsid w:val="00B36831"/>
    <w:rsid w:val="00E50A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617F"/>
  <w15:chartTrackingRefBased/>
  <w15:docId w15:val="{77C0A143-CE67-451E-BF44-CC289EDD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23F74"/>
    <w:pPr>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B23F74"/>
    <w:pPr>
      <w:jc w:val="center"/>
    </w:pPr>
    <w:rPr>
      <w:sz w:val="28"/>
      <w:lang w:val="lv-LV" w:eastAsia="en-US"/>
    </w:rPr>
  </w:style>
  <w:style w:type="character" w:customStyle="1" w:styleId="NosaukumsRakstz">
    <w:name w:val="Nosaukums Rakstz."/>
    <w:basedOn w:val="Noklusjumarindkopasfonts"/>
    <w:link w:val="Nosaukums"/>
    <w:rsid w:val="00B23F74"/>
    <w:rPr>
      <w:rFonts w:ascii="Times New Roman" w:eastAsia="Times New Roman" w:hAnsi="Times New Roman" w:cs="Times New Roman"/>
      <w:sz w:val="28"/>
      <w:szCs w:val="20"/>
    </w:rPr>
  </w:style>
  <w:style w:type="paragraph" w:styleId="Sarakstarindkopa">
    <w:name w:val="List Paragraph"/>
    <w:aliases w:val="Saistīto dokumentu saraksts,Syle 1,Numurets,PPS_Bullet,Virsraksti,2,H&amp;P List Paragraph,Strip,Normal bullet 2,Bullet list,Bullets,Numbered List,List Paragraph1,Paragraph,Bullet point 1,1st level - Bullet List Paragraph"/>
    <w:basedOn w:val="Parasts"/>
    <w:link w:val="SarakstarindkopaRakstz"/>
    <w:qFormat/>
    <w:rsid w:val="00B23F74"/>
    <w:pPr>
      <w:spacing w:after="5" w:line="268" w:lineRule="auto"/>
      <w:ind w:left="720" w:right="84" w:hanging="10"/>
      <w:contextualSpacing/>
      <w:jc w:val="both"/>
    </w:pPr>
    <w:rPr>
      <w:color w:val="000000"/>
      <w:sz w:val="22"/>
      <w:szCs w:val="22"/>
      <w:lang w:val="ru-RU" w:eastAsia="ru-RU"/>
    </w:rPr>
  </w:style>
  <w:style w:type="character" w:customStyle="1" w:styleId="SarakstarindkopaRakstz">
    <w:name w:val="Saraksta rindkopa Rakstz."/>
    <w:aliases w:val="Saistīto dokumentu saraksts Rakstz.,Syle 1 Rakstz.,Numurets Rakstz.,PPS_Bullet Rakstz.,Virsraksti Rakstz.,2 Rakstz.,H&amp;P List Paragraph Rakstz.,Strip Rakstz.,Normal bullet 2 Rakstz.,Bullet list Rakstz.,Bullets Rakstz."/>
    <w:link w:val="Sarakstarindkopa"/>
    <w:qFormat/>
    <w:locked/>
    <w:rsid w:val="00B23F74"/>
    <w:rPr>
      <w:rFonts w:ascii="Times New Roman" w:eastAsia="Times New Roman" w:hAnsi="Times New Roman" w:cs="Times New Roman"/>
      <w:color w:val="000000"/>
      <w:lang w:val="ru-RU" w:eastAsia="ru-RU"/>
    </w:rPr>
  </w:style>
  <w:style w:type="table" w:styleId="Reatabula">
    <w:name w:val="Table Grid"/>
    <w:aliases w:val="CV table"/>
    <w:basedOn w:val="Parastatabula"/>
    <w:uiPriority w:val="59"/>
    <w:rsid w:val="00B23F74"/>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2">
    <w:name w:val="Nos2"/>
    <w:rsid w:val="00B23F74"/>
    <w:pPr>
      <w:spacing w:before="120" w:after="120" w:line="240" w:lineRule="auto"/>
      <w:jc w:val="center"/>
    </w:pPr>
    <w:rPr>
      <w:rFonts w:ascii="Times New Roman" w:eastAsia="Times New Roman" w:hAnsi="Times New Roman" w:cs="Times New Roman"/>
      <w:bCs/>
      <w:sz w:val="40"/>
      <w:szCs w:val="40"/>
      <w:lang w:eastAsia="ar-SA"/>
    </w:rPr>
  </w:style>
  <w:style w:type="paragraph" w:styleId="Parakstszemobjekta">
    <w:name w:val="caption"/>
    <w:basedOn w:val="Parasts"/>
    <w:next w:val="Parasts"/>
    <w:uiPriority w:val="35"/>
    <w:unhideWhenUsed/>
    <w:qFormat/>
    <w:rsid w:val="00B23F74"/>
    <w:pPr>
      <w:spacing w:after="120"/>
    </w:pPr>
    <w:rPr>
      <w:b/>
      <w:bCs/>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2733</Words>
  <Characters>1558</Characters>
  <Application>Microsoft Office Word</Application>
  <DocSecurity>0</DocSecurity>
  <Lines>12</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2021-07-15T08:30:00Z</dcterms:created>
  <dcterms:modified xsi:type="dcterms:W3CDTF">2021-07-15T08:30:00Z</dcterms:modified>
</cp:coreProperties>
</file>