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EDD2A" w14:textId="77777777" w:rsidR="00821A57" w:rsidRPr="00151230" w:rsidRDefault="00821A57" w:rsidP="00821A57">
      <w:pPr>
        <w:tabs>
          <w:tab w:val="left" w:pos="3760"/>
        </w:tabs>
        <w:ind w:left="-284" w:right="282" w:firstLine="4395"/>
        <w:jc w:val="right"/>
        <w:rPr>
          <w:i/>
          <w:sz w:val="24"/>
          <w:szCs w:val="24"/>
        </w:rPr>
      </w:pPr>
      <w:r w:rsidRPr="00151230">
        <w:rPr>
          <w:i/>
          <w:sz w:val="24"/>
          <w:szCs w:val="24"/>
        </w:rPr>
        <w:t>APSTIPRINĀTS:</w:t>
      </w:r>
    </w:p>
    <w:p w14:paraId="2AD7578C" w14:textId="5C2A9FEC" w:rsidR="00821A57" w:rsidRPr="00151230" w:rsidRDefault="00821A57" w:rsidP="00821A57">
      <w:pPr>
        <w:tabs>
          <w:tab w:val="left" w:pos="3760"/>
        </w:tabs>
        <w:ind w:left="-284" w:right="282" w:firstLine="4395"/>
        <w:jc w:val="right"/>
        <w:rPr>
          <w:i/>
          <w:sz w:val="24"/>
          <w:szCs w:val="24"/>
        </w:rPr>
      </w:pPr>
      <w:r w:rsidRPr="00151230">
        <w:rPr>
          <w:i/>
          <w:sz w:val="24"/>
          <w:szCs w:val="24"/>
        </w:rPr>
        <w:t xml:space="preserve">ar iepirkuma komisijas </w:t>
      </w:r>
      <w:r w:rsidRPr="00151230">
        <w:rPr>
          <w:rFonts w:eastAsia="Arial Unicode MS"/>
          <w:i/>
          <w:sz w:val="24"/>
        </w:rPr>
        <w:t xml:space="preserve">2019.gada </w:t>
      </w:r>
      <w:r w:rsidR="00123EED">
        <w:rPr>
          <w:rFonts w:eastAsia="Arial Unicode MS"/>
          <w:i/>
          <w:sz w:val="24"/>
        </w:rPr>
        <w:t>30</w:t>
      </w:r>
      <w:r w:rsidRPr="00151230">
        <w:rPr>
          <w:rFonts w:eastAsia="Arial Unicode MS"/>
          <w:i/>
          <w:sz w:val="24"/>
        </w:rPr>
        <w:t>.</w:t>
      </w:r>
      <w:r>
        <w:rPr>
          <w:rFonts w:eastAsia="Arial Unicode MS"/>
          <w:i/>
          <w:sz w:val="24"/>
        </w:rPr>
        <w:t>decembra</w:t>
      </w:r>
      <w:r w:rsidRPr="00151230">
        <w:rPr>
          <w:rFonts w:eastAsia="Arial Unicode MS"/>
          <w:i/>
          <w:sz w:val="24"/>
        </w:rPr>
        <w:t xml:space="preserve"> </w:t>
      </w:r>
    </w:p>
    <w:p w14:paraId="22464DAF" w14:textId="77777777" w:rsidR="00821A57" w:rsidRPr="001A3CAD" w:rsidRDefault="00821A57" w:rsidP="00821A57">
      <w:pPr>
        <w:tabs>
          <w:tab w:val="left" w:pos="3760"/>
        </w:tabs>
        <w:ind w:left="-284" w:right="282" w:firstLine="4395"/>
        <w:jc w:val="right"/>
        <w:rPr>
          <w:i/>
          <w:sz w:val="24"/>
          <w:szCs w:val="24"/>
        </w:rPr>
      </w:pPr>
      <w:r w:rsidRPr="001A3CAD">
        <w:rPr>
          <w:rFonts w:eastAsia="Arial Unicode MS"/>
          <w:i/>
          <w:sz w:val="24"/>
        </w:rPr>
        <w:t>sēdes protokolu Nr.</w:t>
      </w:r>
      <w:r>
        <w:rPr>
          <w:rFonts w:eastAsia="Arial Unicode MS"/>
          <w:i/>
          <w:sz w:val="24"/>
        </w:rPr>
        <w:t>2</w:t>
      </w:r>
    </w:p>
    <w:p w14:paraId="7E1EF269" w14:textId="77777777" w:rsidR="00821A57" w:rsidRPr="001A3CAD" w:rsidRDefault="00821A57" w:rsidP="00821A57">
      <w:pPr>
        <w:tabs>
          <w:tab w:val="left" w:pos="3760"/>
        </w:tabs>
        <w:ind w:right="282"/>
        <w:jc w:val="both"/>
        <w:rPr>
          <w:b/>
          <w:sz w:val="24"/>
          <w:szCs w:val="24"/>
        </w:rPr>
      </w:pPr>
    </w:p>
    <w:p w14:paraId="04469D0F" w14:textId="77777777" w:rsidR="00821A57" w:rsidRPr="001A3CAD" w:rsidRDefault="00821A57" w:rsidP="00821A57">
      <w:pPr>
        <w:tabs>
          <w:tab w:val="left" w:pos="3760"/>
        </w:tabs>
        <w:ind w:left="-284" w:right="282"/>
        <w:jc w:val="center"/>
        <w:rPr>
          <w:b/>
          <w:sz w:val="24"/>
          <w:szCs w:val="24"/>
        </w:rPr>
      </w:pPr>
    </w:p>
    <w:p w14:paraId="2404061E" w14:textId="77777777" w:rsidR="00821A57" w:rsidRDefault="00821A57" w:rsidP="00821A57">
      <w:pPr>
        <w:jc w:val="center"/>
        <w:rPr>
          <w:b/>
          <w:sz w:val="24"/>
          <w:lang w:eastAsia="en-US"/>
        </w:rPr>
      </w:pPr>
      <w:r w:rsidRPr="001A3CAD">
        <w:rPr>
          <w:b/>
          <w:sz w:val="24"/>
        </w:rPr>
        <w:t>SKAIDROJUMS Nr.</w:t>
      </w:r>
      <w:r>
        <w:rPr>
          <w:b/>
          <w:sz w:val="24"/>
        </w:rPr>
        <w:t>1</w:t>
      </w:r>
    </w:p>
    <w:p w14:paraId="496B732E" w14:textId="77777777" w:rsidR="00821A57" w:rsidRPr="003957DA" w:rsidRDefault="00821A57" w:rsidP="00821A57">
      <w:pPr>
        <w:jc w:val="center"/>
        <w:rPr>
          <w:b/>
          <w:sz w:val="24"/>
          <w:lang w:eastAsia="en-US"/>
        </w:rPr>
      </w:pPr>
      <w:r w:rsidRPr="003957DA">
        <w:rPr>
          <w:b/>
          <w:sz w:val="24"/>
          <w:lang w:eastAsia="en-US"/>
        </w:rPr>
        <w:t>VAS “Latvijas dzelzceļš” organizēt</w:t>
      </w:r>
      <w:r>
        <w:rPr>
          <w:b/>
          <w:sz w:val="24"/>
          <w:lang w:eastAsia="en-US"/>
        </w:rPr>
        <w:t>ajai</w:t>
      </w:r>
    </w:p>
    <w:p w14:paraId="3A2E9416" w14:textId="77777777" w:rsidR="00821A57" w:rsidRPr="00CD0BEE" w:rsidRDefault="00821A57" w:rsidP="00821A57">
      <w:pPr>
        <w:ind w:left="142" w:right="-1"/>
        <w:jc w:val="center"/>
        <w:rPr>
          <w:b/>
          <w:sz w:val="24"/>
          <w:szCs w:val="24"/>
          <w:lang w:eastAsia="en-US"/>
        </w:rPr>
      </w:pPr>
      <w:r w:rsidRPr="00CD0BEE">
        <w:rPr>
          <w:b/>
          <w:sz w:val="24"/>
          <w:szCs w:val="24"/>
          <w:lang w:eastAsia="en-US"/>
        </w:rPr>
        <w:t>sarunu procedūra</w:t>
      </w:r>
      <w:r>
        <w:rPr>
          <w:b/>
          <w:sz w:val="24"/>
          <w:szCs w:val="24"/>
          <w:lang w:eastAsia="en-US"/>
        </w:rPr>
        <w:t>i</w:t>
      </w:r>
      <w:r w:rsidRPr="00CD0BEE">
        <w:rPr>
          <w:b/>
          <w:sz w:val="24"/>
          <w:szCs w:val="24"/>
          <w:lang w:eastAsia="en-US"/>
        </w:rPr>
        <w:t xml:space="preserve"> ar publikāciju</w:t>
      </w:r>
    </w:p>
    <w:p w14:paraId="27F3EACF" w14:textId="54F0FAF7" w:rsidR="00821A57" w:rsidRPr="001A3CAD" w:rsidRDefault="00821A57" w:rsidP="00821A57">
      <w:pPr>
        <w:ind w:left="284" w:right="-1"/>
        <w:jc w:val="center"/>
        <w:rPr>
          <w:sz w:val="24"/>
        </w:rPr>
      </w:pPr>
      <w:r w:rsidRPr="00CD0BEE">
        <w:rPr>
          <w:b/>
          <w:sz w:val="24"/>
          <w:szCs w:val="24"/>
          <w:lang w:eastAsia="en-US"/>
        </w:rPr>
        <w:t>„</w:t>
      </w:r>
      <w:r w:rsidRPr="00821A57">
        <w:rPr>
          <w:b/>
          <w:sz w:val="24"/>
          <w:szCs w:val="24"/>
          <w:lang w:eastAsia="en-US"/>
        </w:rPr>
        <w:t>Vilces apakšstaciju iekārtu atjaunošana</w:t>
      </w:r>
      <w:r w:rsidRPr="00CD0BEE">
        <w:rPr>
          <w:b/>
          <w:sz w:val="24"/>
          <w:szCs w:val="24"/>
          <w:lang w:eastAsia="en-US"/>
        </w:rPr>
        <w:t>”</w:t>
      </w:r>
    </w:p>
    <w:p w14:paraId="5383C05E" w14:textId="77777777" w:rsidR="00821A57" w:rsidRDefault="00821A57" w:rsidP="00821A57">
      <w:pPr>
        <w:ind w:left="284" w:right="282"/>
        <w:jc w:val="center"/>
        <w:rPr>
          <w:b/>
          <w:sz w:val="24"/>
        </w:rPr>
      </w:pPr>
    </w:p>
    <w:p w14:paraId="0077C6B2" w14:textId="77777777" w:rsidR="00821A57" w:rsidRPr="00FC29CF" w:rsidRDefault="00821A57" w:rsidP="00821A57">
      <w:pPr>
        <w:pStyle w:val="Title"/>
        <w:tabs>
          <w:tab w:val="left" w:pos="5775"/>
        </w:tabs>
        <w:jc w:val="left"/>
        <w:rPr>
          <w:b/>
          <w:sz w:val="24"/>
          <w:szCs w:val="24"/>
        </w:rPr>
      </w:pPr>
    </w:p>
    <w:tbl>
      <w:tblPr>
        <w:tblStyle w:val="TableGrid"/>
        <w:tblW w:w="9214" w:type="dxa"/>
        <w:tblLook w:val="04A0" w:firstRow="1" w:lastRow="0" w:firstColumn="1" w:lastColumn="0" w:noHBand="0" w:noVBand="1"/>
      </w:tblPr>
      <w:tblGrid>
        <w:gridCol w:w="704"/>
        <w:gridCol w:w="3969"/>
        <w:gridCol w:w="4541"/>
      </w:tblGrid>
      <w:tr w:rsidR="00821A57" w:rsidRPr="00FC29CF" w14:paraId="5CA0CD08" w14:textId="77777777" w:rsidTr="00CD4346">
        <w:trPr>
          <w:trHeight w:val="655"/>
        </w:trPr>
        <w:tc>
          <w:tcPr>
            <w:tcW w:w="704" w:type="dxa"/>
            <w:shd w:val="clear" w:color="auto" w:fill="FFF2CC"/>
            <w:vAlign w:val="center"/>
          </w:tcPr>
          <w:p w14:paraId="0E0E4766" w14:textId="77777777" w:rsidR="00821A57" w:rsidRPr="00A015E6" w:rsidRDefault="00821A57" w:rsidP="00CD4346">
            <w:pPr>
              <w:jc w:val="center"/>
              <w:rPr>
                <w:rFonts w:eastAsia="Calibri"/>
                <w:b/>
                <w:sz w:val="22"/>
                <w:szCs w:val="22"/>
                <w:lang w:eastAsia="en-US"/>
              </w:rPr>
            </w:pPr>
            <w:r w:rsidRPr="00A015E6">
              <w:rPr>
                <w:rFonts w:eastAsia="Calibri"/>
                <w:b/>
                <w:sz w:val="22"/>
                <w:szCs w:val="22"/>
                <w:lang w:eastAsia="en-US"/>
              </w:rPr>
              <w:t>Nr.</w:t>
            </w:r>
          </w:p>
          <w:p w14:paraId="54D5D864" w14:textId="77777777" w:rsidR="00821A57" w:rsidRPr="00A015E6" w:rsidRDefault="00821A57" w:rsidP="00CD4346">
            <w:pPr>
              <w:jc w:val="center"/>
              <w:rPr>
                <w:rFonts w:eastAsia="Calibri"/>
                <w:b/>
                <w:sz w:val="22"/>
                <w:szCs w:val="22"/>
                <w:lang w:eastAsia="en-US"/>
              </w:rPr>
            </w:pPr>
            <w:r w:rsidRPr="00A015E6">
              <w:rPr>
                <w:rFonts w:eastAsia="Calibri"/>
                <w:b/>
                <w:sz w:val="22"/>
                <w:szCs w:val="22"/>
                <w:lang w:eastAsia="en-US"/>
              </w:rPr>
              <w:t>p.k.</w:t>
            </w:r>
          </w:p>
        </w:tc>
        <w:tc>
          <w:tcPr>
            <w:tcW w:w="3969" w:type="dxa"/>
            <w:shd w:val="clear" w:color="auto" w:fill="FFF2CC"/>
            <w:vAlign w:val="center"/>
          </w:tcPr>
          <w:p w14:paraId="2ADB4C7C" w14:textId="77777777" w:rsidR="00821A57" w:rsidRPr="00A015E6" w:rsidRDefault="00821A57" w:rsidP="00CD4346">
            <w:pPr>
              <w:jc w:val="center"/>
              <w:rPr>
                <w:rFonts w:eastAsia="Calibri"/>
                <w:b/>
                <w:i/>
                <w:sz w:val="22"/>
                <w:szCs w:val="22"/>
                <w:lang w:eastAsia="en-US"/>
              </w:rPr>
            </w:pPr>
            <w:r w:rsidRPr="00A015E6">
              <w:rPr>
                <w:rFonts w:eastAsia="Calibri"/>
                <w:b/>
                <w:i/>
                <w:sz w:val="22"/>
                <w:szCs w:val="22"/>
                <w:lang w:eastAsia="en-US"/>
              </w:rPr>
              <w:t>Jautājumi</w:t>
            </w:r>
          </w:p>
        </w:tc>
        <w:tc>
          <w:tcPr>
            <w:tcW w:w="4541" w:type="dxa"/>
            <w:shd w:val="clear" w:color="auto" w:fill="E5DFEC" w:themeFill="accent4" w:themeFillTint="33"/>
            <w:vAlign w:val="center"/>
          </w:tcPr>
          <w:p w14:paraId="3A11EC3E" w14:textId="77777777" w:rsidR="00821A57" w:rsidRPr="00A015E6" w:rsidRDefault="00821A57" w:rsidP="00CD4346">
            <w:pPr>
              <w:jc w:val="center"/>
              <w:rPr>
                <w:rFonts w:eastAsia="Calibri"/>
                <w:b/>
                <w:i/>
                <w:sz w:val="22"/>
                <w:szCs w:val="22"/>
                <w:lang w:eastAsia="en-US"/>
              </w:rPr>
            </w:pPr>
            <w:r w:rsidRPr="00A015E6">
              <w:rPr>
                <w:rFonts w:eastAsia="Calibri"/>
                <w:b/>
                <w:i/>
                <w:sz w:val="22"/>
                <w:szCs w:val="22"/>
                <w:lang w:eastAsia="en-US"/>
              </w:rPr>
              <w:t>Atbildes</w:t>
            </w:r>
          </w:p>
        </w:tc>
      </w:tr>
      <w:tr w:rsidR="00821A57" w:rsidRPr="00FC29CF" w14:paraId="061301E1" w14:textId="77777777" w:rsidTr="00CD4346">
        <w:trPr>
          <w:trHeight w:val="1102"/>
        </w:trPr>
        <w:tc>
          <w:tcPr>
            <w:tcW w:w="704" w:type="dxa"/>
          </w:tcPr>
          <w:p w14:paraId="1FE682D3" w14:textId="77777777" w:rsidR="00821A57" w:rsidRPr="00A015E6" w:rsidRDefault="00821A57" w:rsidP="00CD4346">
            <w:pPr>
              <w:jc w:val="center"/>
              <w:rPr>
                <w:b/>
                <w:sz w:val="22"/>
                <w:szCs w:val="22"/>
              </w:rPr>
            </w:pPr>
            <w:r w:rsidRPr="00A015E6">
              <w:rPr>
                <w:b/>
                <w:sz w:val="22"/>
                <w:szCs w:val="22"/>
              </w:rPr>
              <w:t>1.</w:t>
            </w:r>
          </w:p>
        </w:tc>
        <w:tc>
          <w:tcPr>
            <w:tcW w:w="3969" w:type="dxa"/>
            <w:vAlign w:val="center"/>
          </w:tcPr>
          <w:p w14:paraId="3DF7D86C" w14:textId="5B3FA602" w:rsidR="00821A57" w:rsidRPr="00A015E6" w:rsidRDefault="00A015E6" w:rsidP="00CD4346">
            <w:pPr>
              <w:rPr>
                <w:sz w:val="22"/>
                <w:szCs w:val="22"/>
              </w:rPr>
            </w:pPr>
            <w:r w:rsidRPr="00A015E6">
              <w:rPr>
                <w:sz w:val="22"/>
                <w:szCs w:val="22"/>
              </w:rPr>
              <w:t>Ievērojot, ka saskaņā ar Tehniskās specifikācijas p.1.2 prasībām ir jāparedz esošo 3.3kV slēdžu nomaiņu pret jauniem, lūdzam sniegt detalizēto tehnisko informāciju par esošiem 3.3kV slēdžiem.</w:t>
            </w:r>
          </w:p>
        </w:tc>
        <w:tc>
          <w:tcPr>
            <w:tcW w:w="4541" w:type="dxa"/>
          </w:tcPr>
          <w:p w14:paraId="0F3BD97B" w14:textId="304DFC53" w:rsidR="00821A57" w:rsidRPr="00A015E6" w:rsidRDefault="00A015E6" w:rsidP="00CD4346">
            <w:pPr>
              <w:rPr>
                <w:rFonts w:eastAsia="Calibri"/>
                <w:sz w:val="22"/>
                <w:szCs w:val="22"/>
                <w:lang w:eastAsia="en-US"/>
              </w:rPr>
            </w:pPr>
            <w:r w:rsidRPr="00A015E6">
              <w:rPr>
                <w:rFonts w:eastAsia="Calibri"/>
                <w:sz w:val="22"/>
                <w:szCs w:val="22"/>
                <w:lang w:eastAsia="en-US"/>
              </w:rPr>
              <w:t>Tehniskā informācija par 3.3kV slēdžiem pieejama vilces apakšstacijas EVA-6 vienlīnijas shēmā (skat</w:t>
            </w:r>
            <w:r>
              <w:rPr>
                <w:rFonts w:eastAsia="Calibri"/>
                <w:sz w:val="22"/>
                <w:szCs w:val="22"/>
                <w:lang w:eastAsia="en-US"/>
              </w:rPr>
              <w:t>.</w:t>
            </w:r>
            <w:r w:rsidRPr="00A015E6">
              <w:rPr>
                <w:rFonts w:eastAsia="Calibri"/>
                <w:sz w:val="22"/>
                <w:szCs w:val="22"/>
                <w:lang w:eastAsia="en-US"/>
              </w:rPr>
              <w:t xml:space="preserve"> Tehniskās specifikācijas pielikumu Nr.1). Esošo 3.3kV slēdžu (Q-K1, Q-K2, Q-K3, Q-RK) tips ir АБ 2/4.</w:t>
            </w:r>
          </w:p>
        </w:tc>
      </w:tr>
      <w:tr w:rsidR="00821A57" w:rsidRPr="00FC29CF" w14:paraId="40A82A4D" w14:textId="77777777" w:rsidTr="00CD4346">
        <w:trPr>
          <w:trHeight w:val="1102"/>
        </w:trPr>
        <w:tc>
          <w:tcPr>
            <w:tcW w:w="704" w:type="dxa"/>
          </w:tcPr>
          <w:p w14:paraId="223BBF13" w14:textId="77777777" w:rsidR="00821A57" w:rsidRPr="00A015E6" w:rsidRDefault="00821A57" w:rsidP="00CD4346">
            <w:pPr>
              <w:jc w:val="center"/>
              <w:rPr>
                <w:b/>
                <w:sz w:val="22"/>
                <w:szCs w:val="22"/>
              </w:rPr>
            </w:pPr>
            <w:r w:rsidRPr="00A015E6">
              <w:rPr>
                <w:b/>
                <w:sz w:val="22"/>
                <w:szCs w:val="22"/>
              </w:rPr>
              <w:t>2.</w:t>
            </w:r>
          </w:p>
        </w:tc>
        <w:tc>
          <w:tcPr>
            <w:tcW w:w="3969" w:type="dxa"/>
          </w:tcPr>
          <w:p w14:paraId="426A4195" w14:textId="1F60E43A" w:rsidR="00821A57" w:rsidRPr="00A015E6" w:rsidRDefault="00A015E6" w:rsidP="00CD4346">
            <w:pPr>
              <w:rPr>
                <w:sz w:val="22"/>
                <w:szCs w:val="22"/>
              </w:rPr>
            </w:pPr>
            <w:r w:rsidRPr="00A015E6">
              <w:rPr>
                <w:sz w:val="22"/>
                <w:szCs w:val="22"/>
              </w:rPr>
              <w:t>Ievērojot Tehniskās specifikācijas punktu “Pēc rekonstrukcijas EVA-6 iekārtas jāveic visas funkcijas, kuras bija pirms SCADA sistēmas ievēšanas atbilstoši vienlīnijas un operatīvas shēmām (pielikumi Nr.1 un Nr.2), nodrošinot elektroapgādi”,  lūdzam precizēt EVA-6 rekonstrukcijas apjomus. Vai ir nepieciešams veikt telpās remonta darbus, vai ir nepieciešamā kādu no 10kV, 6kV, 0,4kV iekārtu rekonstrukcija? Ja tāda rekonstrukcija ir nepieciešama lūdzam specificēt rekonstruējamo iekārtu apjomus / daudzumus.</w:t>
            </w:r>
          </w:p>
        </w:tc>
        <w:tc>
          <w:tcPr>
            <w:tcW w:w="4541" w:type="dxa"/>
          </w:tcPr>
          <w:p w14:paraId="47741BA4" w14:textId="77777777" w:rsidR="00A015E6" w:rsidRPr="00A015E6" w:rsidRDefault="00A015E6" w:rsidP="00A015E6">
            <w:pPr>
              <w:rPr>
                <w:rFonts w:eastAsia="Calibri"/>
                <w:sz w:val="22"/>
                <w:szCs w:val="22"/>
                <w:lang w:eastAsia="en-US"/>
              </w:rPr>
            </w:pPr>
            <w:r w:rsidRPr="00A015E6">
              <w:rPr>
                <w:rFonts w:eastAsia="Calibri"/>
                <w:sz w:val="22"/>
                <w:szCs w:val="22"/>
                <w:lang w:eastAsia="en-US"/>
              </w:rPr>
              <w:t>Apakšstacijas telpās remonta darbi nav paredzēti, izņemot vietas kur būs uzstādītas jaunas iekārtas vai demontētas vecas iekārtas.</w:t>
            </w:r>
          </w:p>
          <w:p w14:paraId="4C552F3B" w14:textId="77777777" w:rsidR="00A015E6" w:rsidRPr="00A015E6" w:rsidRDefault="00A015E6" w:rsidP="00A015E6">
            <w:pPr>
              <w:rPr>
                <w:rFonts w:eastAsia="Calibri"/>
                <w:sz w:val="22"/>
                <w:szCs w:val="22"/>
                <w:lang w:eastAsia="en-US"/>
              </w:rPr>
            </w:pPr>
            <w:r w:rsidRPr="00A015E6">
              <w:rPr>
                <w:rFonts w:eastAsia="Calibri"/>
                <w:sz w:val="22"/>
                <w:szCs w:val="22"/>
                <w:lang w:eastAsia="en-US"/>
              </w:rPr>
              <w:t>Nepieciešama 3.3kV sadales iekārtu rekonstrukcija ar ātrgaitas slēdžu, atdalītāju un relej aizsardzības nomaiņa.</w:t>
            </w:r>
          </w:p>
          <w:p w14:paraId="7B01BD4D" w14:textId="77777777" w:rsidR="00A015E6" w:rsidRPr="00A015E6" w:rsidRDefault="00A015E6" w:rsidP="00A015E6">
            <w:pPr>
              <w:rPr>
                <w:rFonts w:eastAsia="Calibri"/>
                <w:sz w:val="22"/>
                <w:szCs w:val="22"/>
                <w:lang w:eastAsia="en-US"/>
              </w:rPr>
            </w:pPr>
            <w:r w:rsidRPr="00A015E6">
              <w:rPr>
                <w:rFonts w:eastAsia="Calibri"/>
                <w:sz w:val="22"/>
                <w:szCs w:val="22"/>
                <w:lang w:eastAsia="en-US"/>
              </w:rPr>
              <w:t xml:space="preserve"> Nepieciešama 10kV eļļas slēdžu (2gab.) ar vadības blokiem un relej aizsardzības nomaiņa.</w:t>
            </w:r>
          </w:p>
          <w:p w14:paraId="4705B2C6" w14:textId="0CC82F22" w:rsidR="00821A57" w:rsidRPr="00A015E6" w:rsidRDefault="00A015E6" w:rsidP="00A015E6">
            <w:pPr>
              <w:rPr>
                <w:rFonts w:eastAsia="Calibri"/>
                <w:sz w:val="22"/>
                <w:szCs w:val="22"/>
                <w:lang w:eastAsia="en-US"/>
              </w:rPr>
            </w:pPr>
            <w:r w:rsidRPr="00A015E6">
              <w:rPr>
                <w:rFonts w:eastAsia="Calibri"/>
                <w:sz w:val="22"/>
                <w:szCs w:val="22"/>
                <w:lang w:eastAsia="en-US"/>
              </w:rPr>
              <w:t>10kV, 6kV un 0,4kV atdalītāju ar rokas piedziņu nepieciešams aprīkot ar stāvokļa kontroli (SCADA).</w:t>
            </w:r>
          </w:p>
        </w:tc>
      </w:tr>
      <w:tr w:rsidR="00821A57" w:rsidRPr="00A015E6" w14:paraId="1C9BF40C" w14:textId="77777777" w:rsidTr="00CD4346">
        <w:trPr>
          <w:trHeight w:val="1102"/>
        </w:trPr>
        <w:tc>
          <w:tcPr>
            <w:tcW w:w="704" w:type="dxa"/>
          </w:tcPr>
          <w:p w14:paraId="0E6B9F25" w14:textId="77777777" w:rsidR="00821A57" w:rsidRPr="00A015E6" w:rsidRDefault="00821A57" w:rsidP="00CD4346">
            <w:pPr>
              <w:jc w:val="center"/>
              <w:rPr>
                <w:b/>
                <w:sz w:val="22"/>
                <w:szCs w:val="22"/>
              </w:rPr>
            </w:pPr>
            <w:r w:rsidRPr="00A015E6">
              <w:rPr>
                <w:b/>
                <w:sz w:val="22"/>
                <w:szCs w:val="22"/>
              </w:rPr>
              <w:t>3.</w:t>
            </w:r>
          </w:p>
        </w:tc>
        <w:tc>
          <w:tcPr>
            <w:tcW w:w="3969" w:type="dxa"/>
          </w:tcPr>
          <w:p w14:paraId="7CBA169D" w14:textId="04BB572D" w:rsidR="00821A57" w:rsidRPr="00A015E6" w:rsidRDefault="00A015E6" w:rsidP="00CD4346">
            <w:pPr>
              <w:rPr>
                <w:color w:val="000000"/>
                <w:sz w:val="22"/>
                <w:szCs w:val="22"/>
              </w:rPr>
            </w:pPr>
            <w:r w:rsidRPr="00A015E6">
              <w:rPr>
                <w:color w:val="000000"/>
                <w:sz w:val="22"/>
                <w:szCs w:val="22"/>
              </w:rPr>
              <w:t>Lūdzam precizēt Tehniskās specifikācijas p.1.4. prasības. Vai SCADA ADV ir jābūt ar neatkarīgo programmnodrošinājumu, vai tiem ir jābūt integrētiem kādā no VAS Latvijas dzelzceļš esošām SCADA sistēmām?</w:t>
            </w:r>
          </w:p>
        </w:tc>
        <w:tc>
          <w:tcPr>
            <w:tcW w:w="4541" w:type="dxa"/>
          </w:tcPr>
          <w:p w14:paraId="0A027DAC" w14:textId="18697455" w:rsidR="00821A57" w:rsidRPr="00A015E6" w:rsidRDefault="00A015E6" w:rsidP="00CD4346">
            <w:pPr>
              <w:pStyle w:val="ListParagraph"/>
              <w:ind w:left="0" w:right="73"/>
              <w:rPr>
                <w:sz w:val="22"/>
                <w:szCs w:val="22"/>
              </w:rPr>
            </w:pPr>
            <w:r w:rsidRPr="00A015E6">
              <w:rPr>
                <w:sz w:val="22"/>
                <w:szCs w:val="22"/>
              </w:rPr>
              <w:t xml:space="preserve">Vilces jaudas apakšstacijas ADV (vietēja) var būt ar neatkarīgo programmnodrošinājumu. Attālinātai apakšstacijas vadībai un kontrolei vilces apakšstacijas vadības sistēmu nepieciešams integrēt ASPIC MP sistēmā pie </w:t>
            </w:r>
            <w:proofErr w:type="spellStart"/>
            <w:r w:rsidRPr="00A015E6">
              <w:rPr>
                <w:sz w:val="22"/>
                <w:szCs w:val="22"/>
              </w:rPr>
              <w:t>energodispečera</w:t>
            </w:r>
            <w:proofErr w:type="spellEnd"/>
            <w:r w:rsidRPr="00A015E6">
              <w:rPr>
                <w:sz w:val="22"/>
                <w:szCs w:val="22"/>
              </w:rPr>
              <w:t xml:space="preserve"> (</w:t>
            </w:r>
            <w:proofErr w:type="spellStart"/>
            <w:r w:rsidRPr="00A015E6">
              <w:rPr>
                <w:sz w:val="22"/>
                <w:szCs w:val="22"/>
              </w:rPr>
              <w:t>Turģeneva</w:t>
            </w:r>
            <w:proofErr w:type="spellEnd"/>
            <w:r w:rsidRPr="00A015E6">
              <w:rPr>
                <w:sz w:val="22"/>
                <w:szCs w:val="22"/>
              </w:rPr>
              <w:t xml:space="preserve"> iela 14, Rīgā) ar avāriju signalizāciju un apakšstacijas </w:t>
            </w:r>
            <w:proofErr w:type="spellStart"/>
            <w:r w:rsidRPr="00A015E6">
              <w:rPr>
                <w:sz w:val="22"/>
                <w:szCs w:val="22"/>
              </w:rPr>
              <w:t>Web</w:t>
            </w:r>
            <w:proofErr w:type="spellEnd"/>
            <w:r w:rsidRPr="00A015E6">
              <w:rPr>
                <w:sz w:val="22"/>
                <w:szCs w:val="22"/>
              </w:rPr>
              <w:t xml:space="preserve"> servera izsaukšanu (saskaņā ar tehniskā uzdevuma 2. un 3. sadaļu).</w:t>
            </w:r>
          </w:p>
        </w:tc>
      </w:tr>
      <w:tr w:rsidR="00821A57" w:rsidRPr="00FC29CF" w14:paraId="2FBD357D" w14:textId="77777777" w:rsidTr="00821A57">
        <w:trPr>
          <w:trHeight w:val="1025"/>
        </w:trPr>
        <w:tc>
          <w:tcPr>
            <w:tcW w:w="704" w:type="dxa"/>
          </w:tcPr>
          <w:p w14:paraId="25EE2B8E" w14:textId="77777777" w:rsidR="00821A57" w:rsidRPr="00A015E6" w:rsidRDefault="00821A57" w:rsidP="00CD4346">
            <w:pPr>
              <w:jc w:val="center"/>
              <w:rPr>
                <w:b/>
                <w:sz w:val="22"/>
                <w:szCs w:val="22"/>
              </w:rPr>
            </w:pPr>
            <w:r w:rsidRPr="00A015E6">
              <w:rPr>
                <w:b/>
                <w:sz w:val="22"/>
                <w:szCs w:val="22"/>
              </w:rPr>
              <w:t>4.</w:t>
            </w:r>
          </w:p>
        </w:tc>
        <w:tc>
          <w:tcPr>
            <w:tcW w:w="3969" w:type="dxa"/>
          </w:tcPr>
          <w:p w14:paraId="04E963AB" w14:textId="0CF9DBEB" w:rsidR="00821A57" w:rsidRPr="00A015E6" w:rsidRDefault="00A015E6" w:rsidP="00CD4346">
            <w:pPr>
              <w:contextualSpacing/>
              <w:rPr>
                <w:color w:val="000000"/>
                <w:sz w:val="22"/>
                <w:szCs w:val="22"/>
              </w:rPr>
            </w:pPr>
            <w:r w:rsidRPr="00A015E6">
              <w:rPr>
                <w:color w:val="000000"/>
                <w:sz w:val="22"/>
                <w:szCs w:val="22"/>
              </w:rPr>
              <w:t>Lūdzam precizēt, vai optiskās sakaru līnijas un optisko sakaru iekārtu, kas izriet no Tehniskas specifikācijas p.2.1, projektēšana un piegāde ir šī iepirkuma apjomā, vai optiskās sakaru līnijas ar visam nepieciešamam sakaru iekārtam nodrošina Pasūtītājs?</w:t>
            </w:r>
          </w:p>
        </w:tc>
        <w:tc>
          <w:tcPr>
            <w:tcW w:w="4541" w:type="dxa"/>
          </w:tcPr>
          <w:p w14:paraId="08A1516B" w14:textId="7EDCD82F" w:rsidR="00821A57" w:rsidRPr="00A015E6" w:rsidRDefault="00A015E6" w:rsidP="00CD4346">
            <w:pPr>
              <w:suppressAutoHyphens/>
              <w:contextualSpacing/>
              <w:rPr>
                <w:sz w:val="22"/>
                <w:szCs w:val="22"/>
              </w:rPr>
            </w:pPr>
            <w:r w:rsidRPr="00A015E6">
              <w:rPr>
                <w:sz w:val="22"/>
                <w:szCs w:val="22"/>
              </w:rPr>
              <w:t>LDZ optiskais sakaru kabeļu tīkls izbūvēts un ievadīts vilces apakšstacijā, nepieciešams nodrošināt pieslēgšanu pie portiem.</w:t>
            </w:r>
          </w:p>
        </w:tc>
      </w:tr>
      <w:tr w:rsidR="00821A57" w:rsidRPr="00FC29CF" w14:paraId="31C46FC8" w14:textId="77777777" w:rsidTr="00821A57">
        <w:trPr>
          <w:trHeight w:val="983"/>
        </w:trPr>
        <w:tc>
          <w:tcPr>
            <w:tcW w:w="704" w:type="dxa"/>
          </w:tcPr>
          <w:p w14:paraId="7190E856" w14:textId="20870A21" w:rsidR="00821A57" w:rsidRPr="00A015E6" w:rsidRDefault="00821A57" w:rsidP="00821A57">
            <w:pPr>
              <w:jc w:val="center"/>
              <w:rPr>
                <w:b/>
                <w:sz w:val="22"/>
                <w:szCs w:val="22"/>
              </w:rPr>
            </w:pPr>
            <w:r w:rsidRPr="00A015E6">
              <w:rPr>
                <w:b/>
                <w:sz w:val="22"/>
                <w:szCs w:val="22"/>
              </w:rPr>
              <w:t>5.</w:t>
            </w:r>
          </w:p>
        </w:tc>
        <w:tc>
          <w:tcPr>
            <w:tcW w:w="3969" w:type="dxa"/>
          </w:tcPr>
          <w:p w14:paraId="5F2E2599" w14:textId="3219D757" w:rsidR="00821A57" w:rsidRPr="00A015E6" w:rsidRDefault="00A015E6" w:rsidP="00821A57">
            <w:pPr>
              <w:contextualSpacing/>
              <w:rPr>
                <w:color w:val="000000"/>
                <w:sz w:val="22"/>
                <w:szCs w:val="22"/>
              </w:rPr>
            </w:pPr>
            <w:r w:rsidRPr="00A015E6">
              <w:rPr>
                <w:color w:val="000000"/>
                <w:sz w:val="22"/>
                <w:szCs w:val="22"/>
              </w:rPr>
              <w:t>Lūdzam precizēt, vai iekārtu zemēšanai būs iespējams izmantot esošais vilces apakšstacijas zemējuma kontūrs, vai pretendentam būs jāuzprojektē un jāizbūvē jauna zemējuma sistēma ar jauno kontūru?</w:t>
            </w:r>
          </w:p>
        </w:tc>
        <w:tc>
          <w:tcPr>
            <w:tcW w:w="4541" w:type="dxa"/>
          </w:tcPr>
          <w:p w14:paraId="08655041" w14:textId="27AB223D" w:rsidR="00821A57" w:rsidRPr="00A015E6" w:rsidRDefault="00A015E6" w:rsidP="00821A57">
            <w:pPr>
              <w:suppressAutoHyphens/>
              <w:contextualSpacing/>
              <w:rPr>
                <w:sz w:val="22"/>
                <w:szCs w:val="22"/>
              </w:rPr>
            </w:pPr>
            <w:r w:rsidRPr="00A015E6">
              <w:rPr>
                <w:sz w:val="22"/>
                <w:szCs w:val="22"/>
              </w:rPr>
              <w:t xml:space="preserve">Iekārtu zemēšanai izmantot esošo vilces apakšstacijas zemējuma kontūru, izbūvēt tikai </w:t>
            </w:r>
            <w:proofErr w:type="spellStart"/>
            <w:r w:rsidRPr="00A015E6">
              <w:rPr>
                <w:sz w:val="22"/>
                <w:szCs w:val="22"/>
              </w:rPr>
              <w:t>pieslēgumus</w:t>
            </w:r>
            <w:proofErr w:type="spellEnd"/>
            <w:r w:rsidRPr="00A015E6">
              <w:rPr>
                <w:sz w:val="22"/>
                <w:szCs w:val="22"/>
              </w:rPr>
              <w:t xml:space="preserve"> pie esoša kontūra.</w:t>
            </w:r>
          </w:p>
        </w:tc>
      </w:tr>
      <w:tr w:rsidR="00821A57" w:rsidRPr="00FC29CF" w14:paraId="658EF03C" w14:textId="77777777" w:rsidTr="00821A57">
        <w:trPr>
          <w:trHeight w:val="983"/>
        </w:trPr>
        <w:tc>
          <w:tcPr>
            <w:tcW w:w="704" w:type="dxa"/>
          </w:tcPr>
          <w:p w14:paraId="6F332E67" w14:textId="4248E813" w:rsidR="00821A57" w:rsidRPr="00A015E6" w:rsidRDefault="00821A57" w:rsidP="00821A57">
            <w:pPr>
              <w:jc w:val="center"/>
              <w:rPr>
                <w:b/>
                <w:sz w:val="22"/>
                <w:szCs w:val="22"/>
              </w:rPr>
            </w:pPr>
            <w:r w:rsidRPr="00A015E6">
              <w:rPr>
                <w:b/>
                <w:sz w:val="22"/>
                <w:szCs w:val="22"/>
              </w:rPr>
              <w:lastRenderedPageBreak/>
              <w:t>6.</w:t>
            </w:r>
          </w:p>
        </w:tc>
        <w:tc>
          <w:tcPr>
            <w:tcW w:w="3969" w:type="dxa"/>
          </w:tcPr>
          <w:p w14:paraId="198809AD" w14:textId="271576CD" w:rsidR="00821A57" w:rsidRPr="00A015E6" w:rsidRDefault="00A015E6" w:rsidP="00821A57">
            <w:pPr>
              <w:contextualSpacing/>
              <w:rPr>
                <w:color w:val="000000"/>
                <w:sz w:val="22"/>
                <w:szCs w:val="22"/>
              </w:rPr>
            </w:pPr>
            <w:r w:rsidRPr="00A015E6">
              <w:rPr>
                <w:color w:val="000000"/>
                <w:sz w:val="22"/>
                <w:szCs w:val="22"/>
              </w:rPr>
              <w:t>Tehniskās specifikācijas pielikumā Nr.1 sniegta vienlīnijas shēma nav lasāma. Lūdzam piedāvājumu sagatavošanai izsniegt vienlīnijas shēmu formātā un izšķirtspējā, kas ļautu nolasīt elementu operatīvus apzīmējumus, parametrus un nominālus.</w:t>
            </w:r>
          </w:p>
        </w:tc>
        <w:tc>
          <w:tcPr>
            <w:tcW w:w="4541" w:type="dxa"/>
          </w:tcPr>
          <w:p w14:paraId="12E7E6D3" w14:textId="53A5DB2F" w:rsidR="00821A57" w:rsidRPr="00A015E6" w:rsidRDefault="00A015E6" w:rsidP="00821A57">
            <w:pPr>
              <w:suppressAutoHyphens/>
              <w:contextualSpacing/>
              <w:rPr>
                <w:sz w:val="22"/>
                <w:szCs w:val="22"/>
              </w:rPr>
            </w:pPr>
            <w:r w:rsidRPr="00A015E6">
              <w:rPr>
                <w:sz w:val="22"/>
                <w:szCs w:val="22"/>
              </w:rPr>
              <w:t xml:space="preserve">Shēma pielikumā </w:t>
            </w:r>
            <w:proofErr w:type="spellStart"/>
            <w:r w:rsidRPr="00A015E6">
              <w:rPr>
                <w:sz w:val="22"/>
                <w:szCs w:val="22"/>
              </w:rPr>
              <w:t>pdf</w:t>
            </w:r>
            <w:proofErr w:type="spellEnd"/>
            <w:r w:rsidR="00860FE1">
              <w:rPr>
                <w:sz w:val="22"/>
                <w:szCs w:val="22"/>
              </w:rPr>
              <w:t>.</w:t>
            </w:r>
            <w:r w:rsidRPr="00A015E6">
              <w:rPr>
                <w:sz w:val="22"/>
                <w:szCs w:val="22"/>
              </w:rPr>
              <w:t xml:space="preserve"> formātā.  </w:t>
            </w:r>
          </w:p>
        </w:tc>
      </w:tr>
      <w:tr w:rsidR="00821A57" w:rsidRPr="00FC29CF" w14:paraId="0609CD5E" w14:textId="77777777" w:rsidTr="00821A57">
        <w:trPr>
          <w:trHeight w:val="983"/>
        </w:trPr>
        <w:tc>
          <w:tcPr>
            <w:tcW w:w="704" w:type="dxa"/>
          </w:tcPr>
          <w:p w14:paraId="43DB70F9" w14:textId="39D22814" w:rsidR="00821A57" w:rsidRPr="00A015E6" w:rsidRDefault="00821A57" w:rsidP="00821A57">
            <w:pPr>
              <w:jc w:val="center"/>
              <w:rPr>
                <w:b/>
                <w:sz w:val="22"/>
                <w:szCs w:val="22"/>
              </w:rPr>
            </w:pPr>
            <w:r w:rsidRPr="00A015E6">
              <w:rPr>
                <w:b/>
                <w:sz w:val="22"/>
                <w:szCs w:val="22"/>
              </w:rPr>
              <w:t>7.</w:t>
            </w:r>
          </w:p>
        </w:tc>
        <w:tc>
          <w:tcPr>
            <w:tcW w:w="3969" w:type="dxa"/>
          </w:tcPr>
          <w:p w14:paraId="5489E097" w14:textId="7F009C31" w:rsidR="00821A57" w:rsidRPr="00A015E6" w:rsidRDefault="00A015E6" w:rsidP="00821A57">
            <w:pPr>
              <w:contextualSpacing/>
              <w:rPr>
                <w:color w:val="000000"/>
                <w:sz w:val="22"/>
                <w:szCs w:val="22"/>
              </w:rPr>
            </w:pPr>
            <w:r w:rsidRPr="00A015E6">
              <w:rPr>
                <w:color w:val="000000"/>
                <w:sz w:val="22"/>
                <w:szCs w:val="22"/>
              </w:rPr>
              <w:t>Tehnisko jautājumu precizēšanai lūdzam organizēt objekta apsekošanu, par datumu un laiku laicīgi informējot ieinteresētus piegādātājus.</w:t>
            </w:r>
          </w:p>
        </w:tc>
        <w:tc>
          <w:tcPr>
            <w:tcW w:w="4541" w:type="dxa"/>
          </w:tcPr>
          <w:p w14:paraId="4879DC6B" w14:textId="66238EDE" w:rsidR="00821A57" w:rsidRPr="00A015E6" w:rsidRDefault="00A015E6" w:rsidP="00821A57">
            <w:pPr>
              <w:suppressAutoHyphens/>
              <w:contextualSpacing/>
              <w:rPr>
                <w:sz w:val="22"/>
                <w:szCs w:val="22"/>
              </w:rPr>
            </w:pPr>
            <w:r w:rsidRPr="00A015E6">
              <w:rPr>
                <w:sz w:val="22"/>
                <w:szCs w:val="22"/>
              </w:rPr>
              <w:t xml:space="preserve">Apakšstacijas apsekošanu var </w:t>
            </w:r>
            <w:r w:rsidRPr="00FB64E6">
              <w:rPr>
                <w:sz w:val="22"/>
                <w:szCs w:val="22"/>
              </w:rPr>
              <w:t>veikt 0</w:t>
            </w:r>
            <w:r w:rsidR="00FB64E6" w:rsidRPr="00FB64E6">
              <w:rPr>
                <w:sz w:val="22"/>
                <w:szCs w:val="22"/>
              </w:rPr>
              <w:t>6</w:t>
            </w:r>
            <w:r w:rsidRPr="00FB64E6">
              <w:rPr>
                <w:sz w:val="22"/>
                <w:szCs w:val="22"/>
              </w:rPr>
              <w:t>.01.2020.</w:t>
            </w:r>
            <w:r w:rsidRPr="00A015E6">
              <w:rPr>
                <w:sz w:val="22"/>
                <w:szCs w:val="22"/>
              </w:rPr>
              <w:t xml:space="preserve"> iepriekš sazvanoties ar kontaktpersonu Valeriju </w:t>
            </w:r>
            <w:proofErr w:type="spellStart"/>
            <w:r w:rsidRPr="00A015E6">
              <w:rPr>
                <w:sz w:val="22"/>
                <w:szCs w:val="22"/>
              </w:rPr>
              <w:t>Karasinski</w:t>
            </w:r>
            <w:proofErr w:type="spellEnd"/>
            <w:r w:rsidRPr="00A015E6">
              <w:rPr>
                <w:sz w:val="22"/>
                <w:szCs w:val="22"/>
              </w:rPr>
              <w:t xml:space="preserve"> mob.27895295.</w:t>
            </w:r>
          </w:p>
        </w:tc>
      </w:tr>
      <w:tr w:rsidR="00821A57" w:rsidRPr="00FC29CF" w14:paraId="196E23B9" w14:textId="77777777" w:rsidTr="00821A57">
        <w:trPr>
          <w:trHeight w:val="983"/>
        </w:trPr>
        <w:tc>
          <w:tcPr>
            <w:tcW w:w="704" w:type="dxa"/>
          </w:tcPr>
          <w:p w14:paraId="4AF226A4" w14:textId="2C5C1679" w:rsidR="00821A57" w:rsidRPr="00A015E6" w:rsidRDefault="00821A57" w:rsidP="00821A57">
            <w:pPr>
              <w:jc w:val="center"/>
              <w:rPr>
                <w:b/>
                <w:sz w:val="22"/>
                <w:szCs w:val="22"/>
              </w:rPr>
            </w:pPr>
            <w:r w:rsidRPr="00A015E6">
              <w:rPr>
                <w:b/>
                <w:sz w:val="22"/>
                <w:szCs w:val="22"/>
              </w:rPr>
              <w:t>8.</w:t>
            </w:r>
          </w:p>
        </w:tc>
        <w:tc>
          <w:tcPr>
            <w:tcW w:w="3969" w:type="dxa"/>
          </w:tcPr>
          <w:p w14:paraId="46C1472E" w14:textId="05810F05" w:rsidR="00821A57" w:rsidRPr="00A015E6" w:rsidRDefault="00A015E6" w:rsidP="00821A57">
            <w:pPr>
              <w:contextualSpacing/>
              <w:rPr>
                <w:color w:val="000000"/>
                <w:sz w:val="22"/>
                <w:szCs w:val="22"/>
              </w:rPr>
            </w:pPr>
            <w:r w:rsidRPr="00A015E6">
              <w:rPr>
                <w:color w:val="000000"/>
                <w:sz w:val="22"/>
                <w:szCs w:val="22"/>
              </w:rPr>
              <w:t>Ievērojot, ka iepirkuma priekšmets paredz dzelzceļa elektriskas vilces apakšstacijas SCADA sistēmas piegādi un ierīkošanu, lūdzam precizēt, vai pretendentam ir jānodrošina attiecīgajā jomā (elektronisko sakaru sistēmu un tīklu projektēšanā un būvdarbu vadīšana) sertificētie specialisti?</w:t>
            </w:r>
          </w:p>
        </w:tc>
        <w:tc>
          <w:tcPr>
            <w:tcW w:w="4541" w:type="dxa"/>
          </w:tcPr>
          <w:p w14:paraId="7FD4953C" w14:textId="48900572" w:rsidR="00821A57" w:rsidRPr="00A015E6" w:rsidRDefault="00A015E6" w:rsidP="00821A57">
            <w:pPr>
              <w:suppressAutoHyphens/>
              <w:contextualSpacing/>
              <w:rPr>
                <w:sz w:val="22"/>
                <w:szCs w:val="22"/>
              </w:rPr>
            </w:pPr>
            <w:r w:rsidRPr="00A015E6">
              <w:rPr>
                <w:sz w:val="22"/>
                <w:szCs w:val="22"/>
              </w:rPr>
              <w:t>Jā, pretendentam papildus ir jānodrošina elektronisko sakaru sistēmu un tīklu projektēšanā un būvdarbu vadīšana sertificētie specialisti.</w:t>
            </w:r>
          </w:p>
        </w:tc>
      </w:tr>
      <w:tr w:rsidR="00821A57" w:rsidRPr="00FC29CF" w14:paraId="5A8EC6DE" w14:textId="77777777" w:rsidTr="00821A57">
        <w:trPr>
          <w:trHeight w:val="983"/>
        </w:trPr>
        <w:tc>
          <w:tcPr>
            <w:tcW w:w="704" w:type="dxa"/>
          </w:tcPr>
          <w:p w14:paraId="39E23E5A" w14:textId="46349B92" w:rsidR="00821A57" w:rsidRPr="00A015E6" w:rsidRDefault="00821A57" w:rsidP="00821A57">
            <w:pPr>
              <w:jc w:val="center"/>
              <w:rPr>
                <w:b/>
                <w:sz w:val="22"/>
                <w:szCs w:val="22"/>
              </w:rPr>
            </w:pPr>
            <w:r w:rsidRPr="00A015E6">
              <w:rPr>
                <w:b/>
                <w:sz w:val="22"/>
                <w:szCs w:val="22"/>
              </w:rPr>
              <w:t>9.</w:t>
            </w:r>
          </w:p>
        </w:tc>
        <w:tc>
          <w:tcPr>
            <w:tcW w:w="3969" w:type="dxa"/>
          </w:tcPr>
          <w:p w14:paraId="377ECDD9" w14:textId="6186DE01" w:rsidR="00821A57" w:rsidRPr="00A015E6" w:rsidRDefault="00A015E6" w:rsidP="00821A57">
            <w:pPr>
              <w:contextualSpacing/>
              <w:rPr>
                <w:color w:val="000000"/>
                <w:sz w:val="22"/>
                <w:szCs w:val="22"/>
              </w:rPr>
            </w:pPr>
            <w:r w:rsidRPr="00A015E6">
              <w:rPr>
                <w:color w:val="000000"/>
                <w:sz w:val="22"/>
                <w:szCs w:val="22"/>
              </w:rPr>
              <w:t>Lūdzam pagarināt sarunu procedūras piedāvājumu iesniegšanas termiņu līdz 2020. gada 20. janvārim.</w:t>
            </w:r>
          </w:p>
        </w:tc>
        <w:tc>
          <w:tcPr>
            <w:tcW w:w="4541" w:type="dxa"/>
          </w:tcPr>
          <w:p w14:paraId="16ABDECB" w14:textId="3F41E126" w:rsidR="00821A57" w:rsidRPr="00A015E6" w:rsidRDefault="00A015E6" w:rsidP="00821A57">
            <w:pPr>
              <w:suppressAutoHyphens/>
              <w:contextualSpacing/>
              <w:rPr>
                <w:sz w:val="22"/>
                <w:szCs w:val="22"/>
              </w:rPr>
            </w:pPr>
            <w:r w:rsidRPr="00A015E6">
              <w:rPr>
                <w:sz w:val="22"/>
                <w:szCs w:val="22"/>
              </w:rPr>
              <w:t>Sarunu procedūras piedāvājumu iesniegšanas termiņš tiek pagarināts līdz 2020.gada 20.janvārim.</w:t>
            </w:r>
          </w:p>
        </w:tc>
      </w:tr>
    </w:tbl>
    <w:p w14:paraId="08B9B80F" w14:textId="77777777" w:rsidR="00821A57" w:rsidRPr="00FC29CF" w:rsidRDefault="00821A57" w:rsidP="00821A57">
      <w:pPr>
        <w:rPr>
          <w:rFonts w:ascii="Arial" w:hAnsi="Arial" w:cs="Arial"/>
        </w:rPr>
      </w:pPr>
    </w:p>
    <w:p w14:paraId="20D1334B" w14:textId="3926800F" w:rsidR="001B120F" w:rsidRPr="007B4245" w:rsidRDefault="001B120F" w:rsidP="009F195C">
      <w:pPr>
        <w:tabs>
          <w:tab w:val="left" w:pos="3760"/>
        </w:tabs>
        <w:ind w:right="282"/>
      </w:pPr>
      <w:bookmarkStart w:id="0" w:name="_GoBack"/>
      <w:bookmarkEnd w:id="0"/>
    </w:p>
    <w:sectPr w:rsidR="001B120F" w:rsidRPr="007B4245" w:rsidSect="00A70187">
      <w:footerReference w:type="default" r:id="rId7"/>
      <w:pgSz w:w="11906" w:h="16838"/>
      <w:pgMar w:top="993" w:right="83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39F86" w14:textId="77777777" w:rsidR="007D02BD" w:rsidRDefault="007D02BD" w:rsidP="004B1251">
      <w:r>
        <w:separator/>
      </w:r>
    </w:p>
  </w:endnote>
  <w:endnote w:type="continuationSeparator" w:id="0">
    <w:p w14:paraId="0BEACCD3" w14:textId="77777777" w:rsidR="007D02BD" w:rsidRDefault="007D02BD" w:rsidP="004B1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405021"/>
      <w:docPartObj>
        <w:docPartGallery w:val="Page Numbers (Bottom of Page)"/>
        <w:docPartUnique/>
      </w:docPartObj>
    </w:sdtPr>
    <w:sdtEndPr>
      <w:rPr>
        <w:noProof/>
      </w:rPr>
    </w:sdtEndPr>
    <w:sdtContent>
      <w:p w14:paraId="1DB3C64C" w14:textId="3A923476" w:rsidR="004B1251" w:rsidRPr="004B1251" w:rsidRDefault="004B1251">
        <w:pPr>
          <w:pStyle w:val="Footer"/>
          <w:jc w:val="right"/>
        </w:pPr>
        <w:r w:rsidRPr="004B1251">
          <w:fldChar w:fldCharType="begin"/>
        </w:r>
        <w:r w:rsidRPr="004B1251">
          <w:instrText xml:space="preserve"> PAGE   \* MERGEFORMAT </w:instrText>
        </w:r>
        <w:r w:rsidRPr="004B1251">
          <w:fldChar w:fldCharType="separate"/>
        </w:r>
        <w:r w:rsidR="001372AA">
          <w:rPr>
            <w:noProof/>
          </w:rPr>
          <w:t>2</w:t>
        </w:r>
        <w:r w:rsidRPr="004B1251">
          <w:rPr>
            <w:noProof/>
          </w:rPr>
          <w:fldChar w:fldCharType="end"/>
        </w:r>
      </w:p>
    </w:sdtContent>
  </w:sdt>
  <w:p w14:paraId="14CB1E0A" w14:textId="77777777" w:rsidR="004B1251" w:rsidRDefault="004B1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77C1B" w14:textId="77777777" w:rsidR="007D02BD" w:rsidRDefault="007D02BD" w:rsidP="004B1251">
      <w:r>
        <w:separator/>
      </w:r>
    </w:p>
  </w:footnote>
  <w:footnote w:type="continuationSeparator" w:id="0">
    <w:p w14:paraId="565117D8" w14:textId="77777777" w:rsidR="007D02BD" w:rsidRDefault="007D02BD" w:rsidP="004B1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67BE6"/>
    <w:multiLevelType w:val="hybridMultilevel"/>
    <w:tmpl w:val="A61E5010"/>
    <w:lvl w:ilvl="0" w:tplc="C44ADEB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3C85C5D"/>
    <w:multiLevelType w:val="multilevel"/>
    <w:tmpl w:val="678E4BCE"/>
    <w:lvl w:ilvl="0">
      <w:start w:val="1"/>
      <w:numFmt w:val="decimal"/>
      <w:lvlText w:val="%1."/>
      <w:lvlJc w:val="left"/>
      <w:pPr>
        <w:ind w:left="1080" w:hanging="720"/>
      </w:pPr>
      <w:rPr>
        <w:rFonts w:hint="default"/>
        <w:b/>
      </w:rPr>
    </w:lvl>
    <w:lvl w:ilvl="1">
      <w:start w:val="16"/>
      <w:numFmt w:val="decimal"/>
      <w:isLgl/>
      <w:lvlText w:val="%1.%2."/>
      <w:lvlJc w:val="left"/>
      <w:pPr>
        <w:ind w:left="1380" w:hanging="6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575F13D5"/>
    <w:multiLevelType w:val="multilevel"/>
    <w:tmpl w:val="04F44E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862" w:hanging="720"/>
      </w:pPr>
      <w:rPr>
        <w:rFonts w:hint="default"/>
        <w:b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F394552"/>
    <w:multiLevelType w:val="multilevel"/>
    <w:tmpl w:val="D20CACE4"/>
    <w:lvl w:ilvl="0">
      <w:start w:val="1"/>
      <w:numFmt w:val="decimal"/>
      <w:lvlText w:val="%1."/>
      <w:lvlJc w:val="left"/>
      <w:pPr>
        <w:ind w:left="1080" w:hanging="720"/>
      </w:pPr>
      <w:rPr>
        <w:b/>
      </w:rPr>
    </w:lvl>
    <w:lvl w:ilvl="1">
      <w:start w:val="16"/>
      <w:numFmt w:val="decimal"/>
      <w:isLgl/>
      <w:lvlText w:val="%1.%2."/>
      <w:lvlJc w:val="left"/>
      <w:pPr>
        <w:ind w:left="1380" w:hanging="6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23E"/>
    <w:rsid w:val="00014E24"/>
    <w:rsid w:val="00023F4A"/>
    <w:rsid w:val="00027AEB"/>
    <w:rsid w:val="00034F02"/>
    <w:rsid w:val="00037C9F"/>
    <w:rsid w:val="000506A4"/>
    <w:rsid w:val="0005319E"/>
    <w:rsid w:val="00064B4D"/>
    <w:rsid w:val="00074882"/>
    <w:rsid w:val="0009276F"/>
    <w:rsid w:val="00094F01"/>
    <w:rsid w:val="000D265C"/>
    <w:rsid w:val="000F1A1A"/>
    <w:rsid w:val="000F26A2"/>
    <w:rsid w:val="000F323E"/>
    <w:rsid w:val="00107F71"/>
    <w:rsid w:val="00122617"/>
    <w:rsid w:val="00123EED"/>
    <w:rsid w:val="00124A26"/>
    <w:rsid w:val="001250AA"/>
    <w:rsid w:val="001372AA"/>
    <w:rsid w:val="001478A7"/>
    <w:rsid w:val="0016739C"/>
    <w:rsid w:val="001778C3"/>
    <w:rsid w:val="00190ED8"/>
    <w:rsid w:val="001B120F"/>
    <w:rsid w:val="001B47DF"/>
    <w:rsid w:val="001C2EB3"/>
    <w:rsid w:val="001C52AD"/>
    <w:rsid w:val="001D3A28"/>
    <w:rsid w:val="001E3412"/>
    <w:rsid w:val="00202BFA"/>
    <w:rsid w:val="00225910"/>
    <w:rsid w:val="00227648"/>
    <w:rsid w:val="00227F71"/>
    <w:rsid w:val="00233A44"/>
    <w:rsid w:val="002A6DDD"/>
    <w:rsid w:val="002A7C9A"/>
    <w:rsid w:val="002B0F91"/>
    <w:rsid w:val="002B1142"/>
    <w:rsid w:val="002E4B75"/>
    <w:rsid w:val="002F2EA9"/>
    <w:rsid w:val="002F3E0B"/>
    <w:rsid w:val="003449AF"/>
    <w:rsid w:val="003700DE"/>
    <w:rsid w:val="003D0E5B"/>
    <w:rsid w:val="003D51B9"/>
    <w:rsid w:val="003D69F8"/>
    <w:rsid w:val="003F4199"/>
    <w:rsid w:val="003F7FD6"/>
    <w:rsid w:val="00422D3C"/>
    <w:rsid w:val="0042446F"/>
    <w:rsid w:val="00431498"/>
    <w:rsid w:val="0043700D"/>
    <w:rsid w:val="0044664B"/>
    <w:rsid w:val="00451D2B"/>
    <w:rsid w:val="00460034"/>
    <w:rsid w:val="00464CE0"/>
    <w:rsid w:val="0047100C"/>
    <w:rsid w:val="00486AEE"/>
    <w:rsid w:val="004913A2"/>
    <w:rsid w:val="004A159A"/>
    <w:rsid w:val="004A20F5"/>
    <w:rsid w:val="004B1251"/>
    <w:rsid w:val="004B194F"/>
    <w:rsid w:val="004C741C"/>
    <w:rsid w:val="004D40FF"/>
    <w:rsid w:val="004E0095"/>
    <w:rsid w:val="004F07D4"/>
    <w:rsid w:val="004F20DC"/>
    <w:rsid w:val="004F3BB7"/>
    <w:rsid w:val="00525145"/>
    <w:rsid w:val="00540659"/>
    <w:rsid w:val="0054163C"/>
    <w:rsid w:val="00567AA4"/>
    <w:rsid w:val="005A0166"/>
    <w:rsid w:val="005E1120"/>
    <w:rsid w:val="005F3C35"/>
    <w:rsid w:val="005F4DA2"/>
    <w:rsid w:val="00615C19"/>
    <w:rsid w:val="00637EB6"/>
    <w:rsid w:val="00646BFE"/>
    <w:rsid w:val="006948C1"/>
    <w:rsid w:val="006F2C07"/>
    <w:rsid w:val="00701BEE"/>
    <w:rsid w:val="007168EE"/>
    <w:rsid w:val="007539F2"/>
    <w:rsid w:val="0075780A"/>
    <w:rsid w:val="00760E13"/>
    <w:rsid w:val="00763035"/>
    <w:rsid w:val="007654A8"/>
    <w:rsid w:val="00796017"/>
    <w:rsid w:val="007A4BFE"/>
    <w:rsid w:val="007A6C45"/>
    <w:rsid w:val="007B4245"/>
    <w:rsid w:val="007C4EA8"/>
    <w:rsid w:val="007D02BD"/>
    <w:rsid w:val="007D7449"/>
    <w:rsid w:val="007E7149"/>
    <w:rsid w:val="007E76B8"/>
    <w:rsid w:val="007F0ADD"/>
    <w:rsid w:val="008172EC"/>
    <w:rsid w:val="00820D98"/>
    <w:rsid w:val="00821A57"/>
    <w:rsid w:val="00821EF0"/>
    <w:rsid w:val="00840E3C"/>
    <w:rsid w:val="00860FE1"/>
    <w:rsid w:val="008663F3"/>
    <w:rsid w:val="00881096"/>
    <w:rsid w:val="00892755"/>
    <w:rsid w:val="008B6529"/>
    <w:rsid w:val="008B6798"/>
    <w:rsid w:val="008B740F"/>
    <w:rsid w:val="008E45D4"/>
    <w:rsid w:val="009106E1"/>
    <w:rsid w:val="009174D4"/>
    <w:rsid w:val="00926080"/>
    <w:rsid w:val="0094197D"/>
    <w:rsid w:val="009542EB"/>
    <w:rsid w:val="00967F04"/>
    <w:rsid w:val="00972739"/>
    <w:rsid w:val="0099010D"/>
    <w:rsid w:val="009B0577"/>
    <w:rsid w:val="009C0D9E"/>
    <w:rsid w:val="009D607C"/>
    <w:rsid w:val="009E32EB"/>
    <w:rsid w:val="009F195C"/>
    <w:rsid w:val="009F6761"/>
    <w:rsid w:val="00A015E6"/>
    <w:rsid w:val="00A069B2"/>
    <w:rsid w:val="00A32388"/>
    <w:rsid w:val="00A43257"/>
    <w:rsid w:val="00A4391D"/>
    <w:rsid w:val="00A601BC"/>
    <w:rsid w:val="00A70187"/>
    <w:rsid w:val="00A722A3"/>
    <w:rsid w:val="00A7545E"/>
    <w:rsid w:val="00AA1A16"/>
    <w:rsid w:val="00AA50B4"/>
    <w:rsid w:val="00AC622E"/>
    <w:rsid w:val="00B01C9A"/>
    <w:rsid w:val="00B025CC"/>
    <w:rsid w:val="00B0319B"/>
    <w:rsid w:val="00B221F3"/>
    <w:rsid w:val="00B23AF7"/>
    <w:rsid w:val="00B85BD9"/>
    <w:rsid w:val="00BA47D6"/>
    <w:rsid w:val="00BA55F6"/>
    <w:rsid w:val="00BA7B93"/>
    <w:rsid w:val="00BB591E"/>
    <w:rsid w:val="00BB692E"/>
    <w:rsid w:val="00BC3CA7"/>
    <w:rsid w:val="00BC6A2A"/>
    <w:rsid w:val="00BE2102"/>
    <w:rsid w:val="00BE3930"/>
    <w:rsid w:val="00BF1ABD"/>
    <w:rsid w:val="00BF1EA1"/>
    <w:rsid w:val="00C01843"/>
    <w:rsid w:val="00C1523B"/>
    <w:rsid w:val="00C17299"/>
    <w:rsid w:val="00C35C6D"/>
    <w:rsid w:val="00C377AE"/>
    <w:rsid w:val="00C4046C"/>
    <w:rsid w:val="00C44539"/>
    <w:rsid w:val="00C60987"/>
    <w:rsid w:val="00C669AC"/>
    <w:rsid w:val="00C802B8"/>
    <w:rsid w:val="00C81686"/>
    <w:rsid w:val="00C866C1"/>
    <w:rsid w:val="00C972FC"/>
    <w:rsid w:val="00C97AF9"/>
    <w:rsid w:val="00CB2A23"/>
    <w:rsid w:val="00CB41DB"/>
    <w:rsid w:val="00CC2350"/>
    <w:rsid w:val="00CD113C"/>
    <w:rsid w:val="00CD12FE"/>
    <w:rsid w:val="00CD701F"/>
    <w:rsid w:val="00CD7448"/>
    <w:rsid w:val="00CE2D1F"/>
    <w:rsid w:val="00CF7FFC"/>
    <w:rsid w:val="00D05435"/>
    <w:rsid w:val="00D173B2"/>
    <w:rsid w:val="00D31D34"/>
    <w:rsid w:val="00D376F8"/>
    <w:rsid w:val="00D43617"/>
    <w:rsid w:val="00D61649"/>
    <w:rsid w:val="00D61AC0"/>
    <w:rsid w:val="00D65A7F"/>
    <w:rsid w:val="00D74ED6"/>
    <w:rsid w:val="00D80648"/>
    <w:rsid w:val="00D90912"/>
    <w:rsid w:val="00DB369A"/>
    <w:rsid w:val="00DB5B4E"/>
    <w:rsid w:val="00DC3B7C"/>
    <w:rsid w:val="00DC7874"/>
    <w:rsid w:val="00DD5BDC"/>
    <w:rsid w:val="00E0633E"/>
    <w:rsid w:val="00E459D7"/>
    <w:rsid w:val="00E57A63"/>
    <w:rsid w:val="00E70A29"/>
    <w:rsid w:val="00E852DD"/>
    <w:rsid w:val="00E860E3"/>
    <w:rsid w:val="00ED4505"/>
    <w:rsid w:val="00EF6034"/>
    <w:rsid w:val="00F05B3C"/>
    <w:rsid w:val="00F210C8"/>
    <w:rsid w:val="00F24374"/>
    <w:rsid w:val="00F26E38"/>
    <w:rsid w:val="00F37C4F"/>
    <w:rsid w:val="00F55AEA"/>
    <w:rsid w:val="00F72161"/>
    <w:rsid w:val="00F93CBB"/>
    <w:rsid w:val="00F97D93"/>
    <w:rsid w:val="00FB64E6"/>
    <w:rsid w:val="00FC7EF1"/>
    <w:rsid w:val="00FE7425"/>
    <w:rsid w:val="00FF1AA1"/>
    <w:rsid w:val="00FF2A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77589"/>
  <w15:docId w15:val="{35E78941-AFC1-478B-996A-2BB62372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1251"/>
    <w:pPr>
      <w:spacing w:after="0" w:line="240" w:lineRule="auto"/>
    </w:pPr>
    <w:rPr>
      <w:rFonts w:ascii="Times New Roman" w:eastAsia="Times New Roman" w:hAnsi="Times New Roman" w:cs="Times New Roman"/>
      <w:sz w:val="20"/>
      <w:szCs w:val="20"/>
      <w:lang w:eastAsia="lv-LV"/>
    </w:rPr>
  </w:style>
  <w:style w:type="paragraph" w:styleId="Heading1">
    <w:name w:val="heading 1"/>
    <w:basedOn w:val="Normal"/>
    <w:next w:val="Normal"/>
    <w:link w:val="Heading1Char"/>
    <w:qFormat/>
    <w:rsid w:val="004B1251"/>
    <w:pPr>
      <w:keepNext/>
      <w:outlineLvl w:val="0"/>
    </w:pPr>
    <w:rPr>
      <w:sz w:val="24"/>
      <w:lang w:eastAsia="en-US"/>
    </w:rPr>
  </w:style>
  <w:style w:type="paragraph" w:styleId="Heading3">
    <w:name w:val="heading 3"/>
    <w:basedOn w:val="Normal"/>
    <w:next w:val="Normal"/>
    <w:link w:val="Heading3Char"/>
    <w:uiPriority w:val="9"/>
    <w:semiHidden/>
    <w:unhideWhenUsed/>
    <w:qFormat/>
    <w:rsid w:val="00525145"/>
    <w:pPr>
      <w:keepNext/>
      <w:spacing w:before="240" w:after="60"/>
      <w:outlineLvl w:val="2"/>
    </w:pPr>
    <w:rPr>
      <w:rFonts w:ascii="Cambria" w:hAnsi="Cambria"/>
      <w:b/>
      <w:bCs/>
      <w:sz w:val="26"/>
      <w:szCs w:val="26"/>
      <w:lang w:eastAsia="en-US"/>
    </w:rPr>
  </w:style>
  <w:style w:type="paragraph" w:styleId="Heading5">
    <w:name w:val="heading 5"/>
    <w:basedOn w:val="Normal"/>
    <w:next w:val="Normal"/>
    <w:link w:val="Heading5Char"/>
    <w:uiPriority w:val="9"/>
    <w:semiHidden/>
    <w:unhideWhenUsed/>
    <w:qFormat/>
    <w:rsid w:val="0047100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125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B1251"/>
    <w:pPr>
      <w:tabs>
        <w:tab w:val="center" w:pos="4320"/>
        <w:tab w:val="right" w:pos="8640"/>
      </w:tabs>
    </w:pPr>
  </w:style>
  <w:style w:type="character" w:customStyle="1" w:styleId="FooterChar">
    <w:name w:val="Footer Char"/>
    <w:basedOn w:val="DefaultParagraphFont"/>
    <w:link w:val="Footer"/>
    <w:uiPriority w:val="99"/>
    <w:rsid w:val="004B1251"/>
    <w:rPr>
      <w:rFonts w:ascii="Times New Roman" w:eastAsia="Times New Roman" w:hAnsi="Times New Roman" w:cs="Times New Roman"/>
      <w:sz w:val="20"/>
      <w:szCs w:val="20"/>
      <w:lang w:val="en-US" w:eastAsia="lv-LV"/>
    </w:rPr>
  </w:style>
  <w:style w:type="paragraph" w:styleId="Title">
    <w:name w:val="Title"/>
    <w:basedOn w:val="Normal"/>
    <w:link w:val="TitleChar"/>
    <w:qFormat/>
    <w:rsid w:val="004B1251"/>
    <w:pPr>
      <w:jc w:val="center"/>
    </w:pPr>
    <w:rPr>
      <w:sz w:val="28"/>
      <w:lang w:eastAsia="en-US"/>
    </w:rPr>
  </w:style>
  <w:style w:type="character" w:customStyle="1" w:styleId="TitleChar">
    <w:name w:val="Title Char"/>
    <w:basedOn w:val="DefaultParagraphFont"/>
    <w:link w:val="Title"/>
    <w:rsid w:val="004B1251"/>
    <w:rPr>
      <w:rFonts w:ascii="Times New Roman" w:eastAsia="Times New Roman" w:hAnsi="Times New Roman" w:cs="Times New Roman"/>
      <w:sz w:val="28"/>
      <w:szCs w:val="20"/>
    </w:rPr>
  </w:style>
  <w:style w:type="paragraph" w:styleId="BodyTextIndent">
    <w:name w:val="Body Text Indent"/>
    <w:basedOn w:val="Normal"/>
    <w:link w:val="BodyTextIndentChar"/>
    <w:unhideWhenUsed/>
    <w:rsid w:val="004B1251"/>
    <w:pPr>
      <w:jc w:val="both"/>
    </w:pPr>
    <w:rPr>
      <w:sz w:val="24"/>
      <w:lang w:eastAsia="en-US"/>
    </w:rPr>
  </w:style>
  <w:style w:type="character" w:customStyle="1" w:styleId="BodyTextIndentChar">
    <w:name w:val="Body Text Indent Char"/>
    <w:basedOn w:val="DefaultParagraphFont"/>
    <w:link w:val="BodyTextIndent"/>
    <w:rsid w:val="004B1251"/>
    <w:rPr>
      <w:rFonts w:ascii="Times New Roman" w:eastAsia="Times New Roman" w:hAnsi="Times New Roman" w:cs="Times New Roman"/>
      <w:sz w:val="24"/>
      <w:szCs w:val="20"/>
    </w:rPr>
  </w:style>
  <w:style w:type="paragraph" w:styleId="BodyTextIndent2">
    <w:name w:val="Body Text Indent 2"/>
    <w:basedOn w:val="Normal"/>
    <w:link w:val="BodyTextIndent2Char"/>
    <w:unhideWhenUsed/>
    <w:rsid w:val="004B1251"/>
    <w:pPr>
      <w:ind w:firstLine="540"/>
      <w:jc w:val="both"/>
    </w:pPr>
    <w:rPr>
      <w:sz w:val="24"/>
      <w:lang w:eastAsia="en-US"/>
    </w:rPr>
  </w:style>
  <w:style w:type="character" w:customStyle="1" w:styleId="BodyTextIndent2Char">
    <w:name w:val="Body Text Indent 2 Char"/>
    <w:basedOn w:val="DefaultParagraphFont"/>
    <w:link w:val="BodyTextIndent2"/>
    <w:rsid w:val="004B1251"/>
    <w:rPr>
      <w:rFonts w:ascii="Times New Roman" w:eastAsia="Times New Roman" w:hAnsi="Times New Roman" w:cs="Times New Roman"/>
      <w:sz w:val="24"/>
      <w:szCs w:val="20"/>
    </w:rPr>
  </w:style>
  <w:style w:type="paragraph" w:styleId="ListParagraph">
    <w:name w:val="List Paragraph"/>
    <w:aliases w:val="Syle 1"/>
    <w:basedOn w:val="Normal"/>
    <w:link w:val="ListParagraphChar"/>
    <w:uiPriority w:val="34"/>
    <w:qFormat/>
    <w:rsid w:val="004B1251"/>
    <w:pPr>
      <w:ind w:left="720"/>
      <w:contextualSpacing/>
    </w:pPr>
  </w:style>
  <w:style w:type="paragraph" w:customStyle="1" w:styleId="BodyText21">
    <w:name w:val="Body Text 21"/>
    <w:basedOn w:val="Normal"/>
    <w:link w:val="BodyText21Char"/>
    <w:rsid w:val="004B1251"/>
    <w:pPr>
      <w:jc w:val="both"/>
    </w:pPr>
    <w:rPr>
      <w:sz w:val="24"/>
      <w:lang w:eastAsia="en-US"/>
    </w:rPr>
  </w:style>
  <w:style w:type="character" w:customStyle="1" w:styleId="BodyText21Char">
    <w:name w:val="Body Text 21 Char"/>
    <w:link w:val="BodyText21"/>
    <w:locked/>
    <w:rsid w:val="004B1251"/>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4B1251"/>
    <w:pPr>
      <w:tabs>
        <w:tab w:val="center" w:pos="4153"/>
        <w:tab w:val="right" w:pos="8306"/>
      </w:tabs>
    </w:pPr>
  </w:style>
  <w:style w:type="character" w:customStyle="1" w:styleId="HeaderChar">
    <w:name w:val="Header Char"/>
    <w:basedOn w:val="DefaultParagraphFont"/>
    <w:link w:val="Header"/>
    <w:uiPriority w:val="99"/>
    <w:rsid w:val="004B1251"/>
    <w:rPr>
      <w:rFonts w:ascii="Times New Roman" w:eastAsia="Times New Roman" w:hAnsi="Times New Roman" w:cs="Times New Roman"/>
      <w:sz w:val="20"/>
      <w:szCs w:val="20"/>
      <w:lang w:val="en-US" w:eastAsia="lv-LV"/>
    </w:rPr>
  </w:style>
  <w:style w:type="character" w:customStyle="1" w:styleId="field-content5">
    <w:name w:val="field-content5"/>
    <w:basedOn w:val="DefaultParagraphFont"/>
    <w:rsid w:val="00422D3C"/>
  </w:style>
  <w:style w:type="paragraph" w:styleId="BalloonText">
    <w:name w:val="Balloon Text"/>
    <w:basedOn w:val="Normal"/>
    <w:link w:val="BalloonTextChar"/>
    <w:uiPriority w:val="99"/>
    <w:semiHidden/>
    <w:unhideWhenUsed/>
    <w:rsid w:val="008810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096"/>
    <w:rPr>
      <w:rFonts w:ascii="Segoe UI" w:eastAsia="Times New Roman" w:hAnsi="Segoe UI" w:cs="Segoe UI"/>
      <w:sz w:val="18"/>
      <w:szCs w:val="18"/>
      <w:lang w:val="en-US" w:eastAsia="lv-LV"/>
    </w:rPr>
  </w:style>
  <w:style w:type="paragraph" w:customStyle="1" w:styleId="Nos2">
    <w:name w:val="Nos2"/>
    <w:rsid w:val="00525145"/>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525145"/>
    <w:pPr>
      <w:spacing w:before="120" w:after="120" w:line="240" w:lineRule="auto"/>
      <w:jc w:val="center"/>
    </w:pPr>
    <w:rPr>
      <w:rFonts w:ascii="Times New Roman" w:eastAsia="Times New Roman" w:hAnsi="Times New Roman" w:cs="Times New Roman"/>
      <w:b/>
      <w:bCs/>
      <w:sz w:val="32"/>
      <w:szCs w:val="24"/>
      <w:lang w:eastAsia="ar-SA"/>
    </w:rPr>
  </w:style>
  <w:style w:type="character" w:styleId="Hyperlink">
    <w:name w:val="Hyperlink"/>
    <w:uiPriority w:val="99"/>
    <w:semiHidden/>
    <w:unhideWhenUsed/>
    <w:rsid w:val="00525145"/>
    <w:rPr>
      <w:strike w:val="0"/>
      <w:dstrike w:val="0"/>
      <w:color w:val="940026"/>
      <w:u w:val="none"/>
      <w:effect w:val="none"/>
    </w:rPr>
  </w:style>
  <w:style w:type="character" w:customStyle="1" w:styleId="lineage-item">
    <w:name w:val="lineage-item"/>
    <w:rsid w:val="00525145"/>
  </w:style>
  <w:style w:type="character" w:customStyle="1" w:styleId="Heading3Char">
    <w:name w:val="Heading 3 Char"/>
    <w:basedOn w:val="DefaultParagraphFont"/>
    <w:link w:val="Heading3"/>
    <w:uiPriority w:val="9"/>
    <w:semiHidden/>
    <w:rsid w:val="00525145"/>
    <w:rPr>
      <w:rFonts w:ascii="Cambria" w:eastAsia="Times New Roman" w:hAnsi="Cambria" w:cs="Times New Roman"/>
      <w:b/>
      <w:bCs/>
      <w:sz w:val="26"/>
      <w:szCs w:val="26"/>
      <w:lang w:val="en-US"/>
    </w:rPr>
  </w:style>
  <w:style w:type="character" w:customStyle="1" w:styleId="ListParagraphChar">
    <w:name w:val="List Paragraph Char"/>
    <w:aliases w:val="Syle 1 Char"/>
    <w:link w:val="ListParagraph"/>
    <w:uiPriority w:val="34"/>
    <w:locked/>
    <w:rsid w:val="00BA47D6"/>
    <w:rPr>
      <w:rFonts w:ascii="Times New Roman" w:eastAsia="Times New Roman" w:hAnsi="Times New Roman" w:cs="Times New Roman"/>
      <w:sz w:val="20"/>
      <w:szCs w:val="20"/>
      <w:lang w:val="en-US" w:eastAsia="lv-LV"/>
    </w:rPr>
  </w:style>
  <w:style w:type="character" w:customStyle="1" w:styleId="Heading5Char">
    <w:name w:val="Heading 5 Char"/>
    <w:basedOn w:val="DefaultParagraphFont"/>
    <w:link w:val="Heading5"/>
    <w:uiPriority w:val="99"/>
    <w:semiHidden/>
    <w:rsid w:val="0047100C"/>
    <w:rPr>
      <w:rFonts w:asciiTheme="majorHAnsi" w:eastAsiaTheme="majorEastAsia" w:hAnsiTheme="majorHAnsi" w:cstheme="majorBidi"/>
      <w:color w:val="365F91" w:themeColor="accent1" w:themeShade="BF"/>
      <w:sz w:val="20"/>
      <w:szCs w:val="20"/>
      <w:lang w:val="en-US" w:eastAsia="lv-LV"/>
    </w:rPr>
  </w:style>
  <w:style w:type="character" w:styleId="CommentReference">
    <w:name w:val="annotation reference"/>
    <w:basedOn w:val="DefaultParagraphFont"/>
    <w:uiPriority w:val="99"/>
    <w:semiHidden/>
    <w:unhideWhenUsed/>
    <w:rsid w:val="003D69F8"/>
    <w:rPr>
      <w:sz w:val="16"/>
      <w:szCs w:val="16"/>
    </w:rPr>
  </w:style>
  <w:style w:type="paragraph" w:styleId="CommentText">
    <w:name w:val="annotation text"/>
    <w:basedOn w:val="Normal"/>
    <w:link w:val="CommentTextChar"/>
    <w:uiPriority w:val="99"/>
    <w:semiHidden/>
    <w:unhideWhenUsed/>
    <w:rsid w:val="003D69F8"/>
  </w:style>
  <w:style w:type="character" w:customStyle="1" w:styleId="CommentTextChar">
    <w:name w:val="Comment Text Char"/>
    <w:basedOn w:val="DefaultParagraphFont"/>
    <w:link w:val="CommentText"/>
    <w:uiPriority w:val="99"/>
    <w:semiHidden/>
    <w:rsid w:val="003D69F8"/>
    <w:rPr>
      <w:rFonts w:ascii="Times New Roman" w:eastAsia="Times New Roman" w:hAnsi="Times New Roman" w:cs="Times New Roman"/>
      <w:sz w:val="20"/>
      <w:szCs w:val="20"/>
      <w:lang w:val="en-US" w:eastAsia="lv-LV"/>
    </w:rPr>
  </w:style>
  <w:style w:type="paragraph" w:styleId="CommentSubject">
    <w:name w:val="annotation subject"/>
    <w:basedOn w:val="CommentText"/>
    <w:next w:val="CommentText"/>
    <w:link w:val="CommentSubjectChar"/>
    <w:uiPriority w:val="99"/>
    <w:semiHidden/>
    <w:unhideWhenUsed/>
    <w:rsid w:val="003D69F8"/>
    <w:rPr>
      <w:b/>
      <w:bCs/>
    </w:rPr>
  </w:style>
  <w:style w:type="character" w:customStyle="1" w:styleId="CommentSubjectChar">
    <w:name w:val="Comment Subject Char"/>
    <w:basedOn w:val="CommentTextChar"/>
    <w:link w:val="CommentSubject"/>
    <w:uiPriority w:val="99"/>
    <w:semiHidden/>
    <w:rsid w:val="003D69F8"/>
    <w:rPr>
      <w:rFonts w:ascii="Times New Roman" w:eastAsia="Times New Roman" w:hAnsi="Times New Roman" w:cs="Times New Roman"/>
      <w:b/>
      <w:bCs/>
      <w:sz w:val="20"/>
      <w:szCs w:val="20"/>
      <w:lang w:val="en-US" w:eastAsia="lv-LV"/>
    </w:rPr>
  </w:style>
  <w:style w:type="table" w:styleId="TableGrid">
    <w:name w:val="Table Grid"/>
    <w:basedOn w:val="TableNormal"/>
    <w:uiPriority w:val="39"/>
    <w:rsid w:val="00821A57"/>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54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2566</Words>
  <Characters>1463</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Inese Kempa</dc:creator>
  <cp:lastModifiedBy>Kristaps Nusbergs</cp:lastModifiedBy>
  <cp:revision>4</cp:revision>
  <cp:lastPrinted>2019-05-17T04:48:00Z</cp:lastPrinted>
  <dcterms:created xsi:type="dcterms:W3CDTF">2019-12-30T06:24:00Z</dcterms:created>
  <dcterms:modified xsi:type="dcterms:W3CDTF">2019-12-30T08:35:00Z</dcterms:modified>
</cp:coreProperties>
</file>