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814B7" w14:textId="77777777" w:rsidR="00BE64B7" w:rsidRPr="00A02511" w:rsidRDefault="00BE64B7" w:rsidP="00BE64B7">
      <w:pPr>
        <w:pStyle w:val="Default"/>
        <w:jc w:val="right"/>
        <w:rPr>
          <w:lang w:val="lv-LV"/>
        </w:rPr>
      </w:pPr>
      <w:r w:rsidRPr="00A02511">
        <w:rPr>
          <w:lang w:val="lv-LV"/>
        </w:rPr>
        <w:t xml:space="preserve">APSTIPRINĀTS </w:t>
      </w:r>
    </w:p>
    <w:p w14:paraId="48A51F75" w14:textId="14969A6B" w:rsidR="00BE64B7" w:rsidRPr="00A02511" w:rsidRDefault="00BE64B7" w:rsidP="00D570ED">
      <w:pPr>
        <w:pStyle w:val="Default"/>
        <w:jc w:val="right"/>
        <w:rPr>
          <w:lang w:val="lv-LV"/>
        </w:rPr>
      </w:pPr>
      <w:r w:rsidRPr="00A02511">
        <w:rPr>
          <w:lang w:val="lv-LV"/>
        </w:rPr>
        <w:t>ar VAS “Latvijas dzelzceļš”</w:t>
      </w:r>
      <w:r w:rsidR="002A48E8">
        <w:rPr>
          <w:lang w:val="lv-LV"/>
        </w:rPr>
        <w:t xml:space="preserve"> </w:t>
      </w:r>
      <w:r w:rsidR="00D570ED">
        <w:rPr>
          <w:bCs/>
          <w:lang w:val="lv-LV"/>
        </w:rPr>
        <w:t>s</w:t>
      </w:r>
      <w:r w:rsidR="00D570ED" w:rsidRPr="00D570ED">
        <w:rPr>
          <w:bCs/>
          <w:lang w:val="lv-LV"/>
        </w:rPr>
        <w:t>arunu procedūr</w:t>
      </w:r>
      <w:r w:rsidR="00D570ED">
        <w:rPr>
          <w:bCs/>
          <w:lang w:val="lv-LV"/>
        </w:rPr>
        <w:t xml:space="preserve">as </w:t>
      </w:r>
      <w:r w:rsidR="00D570ED" w:rsidRPr="00D570ED">
        <w:rPr>
          <w:bCs/>
          <w:lang w:val="lv-LV"/>
        </w:rPr>
        <w:t>ar</w:t>
      </w:r>
      <w:r w:rsidR="00D570ED" w:rsidRPr="00A02511">
        <w:rPr>
          <w:b/>
          <w:lang w:val="lv-LV"/>
        </w:rPr>
        <w:t xml:space="preserve"> </w:t>
      </w:r>
      <w:r w:rsidR="00D570ED" w:rsidRPr="00D570ED">
        <w:rPr>
          <w:bCs/>
          <w:lang w:val="lv-LV"/>
        </w:rPr>
        <w:t>publikāciju “Vilciena digitālo radiosakaru sistēmas ieviešanas projekta būvuzraudzība”</w:t>
      </w:r>
      <w:r w:rsidR="00D570ED" w:rsidRPr="00D570ED">
        <w:rPr>
          <w:bCs/>
          <w:lang w:val="lv-LV"/>
        </w:rPr>
        <w:t xml:space="preserve">, </w:t>
      </w:r>
      <w:r w:rsidR="00D570ED" w:rsidRPr="00D570ED">
        <w:rPr>
          <w:bCs/>
          <w:lang w:val="lv-LV"/>
        </w:rPr>
        <w:t xml:space="preserve">iepirkuma identifikācijas </w:t>
      </w:r>
      <w:proofErr w:type="spellStart"/>
      <w:r w:rsidR="00D570ED" w:rsidRPr="00D570ED">
        <w:rPr>
          <w:bCs/>
          <w:lang w:val="lv-LV"/>
        </w:rPr>
        <w:t>Nr.LDz</w:t>
      </w:r>
      <w:proofErr w:type="spellEnd"/>
      <w:r w:rsidR="00D570ED" w:rsidRPr="00D570ED">
        <w:rPr>
          <w:bCs/>
          <w:lang w:val="lv-LV"/>
        </w:rPr>
        <w:t xml:space="preserve"> 2020/27-IBz</w:t>
      </w:r>
      <w:r w:rsidR="002A48E8">
        <w:rPr>
          <w:bCs/>
          <w:lang w:val="lv-LV"/>
        </w:rPr>
        <w:t xml:space="preserve">, </w:t>
      </w:r>
      <w:r w:rsidRPr="00D570ED">
        <w:rPr>
          <w:bCs/>
          <w:lang w:val="lv-LV"/>
        </w:rPr>
        <w:t>iepirkuma</w:t>
      </w:r>
      <w:r w:rsidRPr="00A02511">
        <w:rPr>
          <w:lang w:val="lv-LV"/>
        </w:rPr>
        <w:t xml:space="preserve"> komisijas </w:t>
      </w:r>
    </w:p>
    <w:p w14:paraId="01B4A7E5" w14:textId="17DDE568" w:rsidR="00BE64B7" w:rsidRPr="00A02511" w:rsidRDefault="00BE64B7" w:rsidP="00BE64B7">
      <w:pPr>
        <w:pStyle w:val="Default"/>
        <w:jc w:val="right"/>
        <w:rPr>
          <w:lang w:val="lv-LV"/>
        </w:rPr>
      </w:pPr>
      <w:r w:rsidRPr="00A02511">
        <w:rPr>
          <w:lang w:val="lv-LV"/>
        </w:rPr>
        <w:t xml:space="preserve">2020.gada </w:t>
      </w:r>
      <w:r w:rsidR="00871481">
        <w:rPr>
          <w:lang w:val="lv-LV"/>
        </w:rPr>
        <w:t>14</w:t>
      </w:r>
      <w:r w:rsidR="00871481" w:rsidRPr="00A02511">
        <w:rPr>
          <w:lang w:val="lv-LV"/>
        </w:rPr>
        <w:t>.</w:t>
      </w:r>
      <w:r w:rsidRPr="00A02511">
        <w:rPr>
          <w:lang w:val="lv-LV"/>
        </w:rPr>
        <w:t>oktobra 3.sēdes protokolu</w:t>
      </w:r>
    </w:p>
    <w:p w14:paraId="0A99AE3F" w14:textId="77777777" w:rsidR="00BE64B7" w:rsidRPr="00A02511" w:rsidRDefault="00BE64B7" w:rsidP="00BE64B7">
      <w:pPr>
        <w:pStyle w:val="Default"/>
        <w:jc w:val="right"/>
        <w:rPr>
          <w:lang w:val="lv-LV"/>
        </w:rPr>
      </w:pPr>
    </w:p>
    <w:p w14:paraId="44BE6741" w14:textId="77777777" w:rsidR="00BE64B7" w:rsidRPr="00A02511" w:rsidRDefault="00BE64B7" w:rsidP="00BE64B7">
      <w:pPr>
        <w:pStyle w:val="Default"/>
        <w:jc w:val="right"/>
        <w:rPr>
          <w:lang w:val="lv-LV"/>
        </w:rPr>
      </w:pPr>
    </w:p>
    <w:p w14:paraId="578BF435" w14:textId="77777777" w:rsidR="00BE64B7" w:rsidRPr="00A02511" w:rsidRDefault="00BE64B7" w:rsidP="00BE64B7">
      <w:pPr>
        <w:pStyle w:val="Default"/>
        <w:jc w:val="center"/>
        <w:rPr>
          <w:b/>
          <w:lang w:val="lv-LV"/>
        </w:rPr>
      </w:pPr>
      <w:r w:rsidRPr="00A02511">
        <w:rPr>
          <w:b/>
          <w:lang w:val="lv-LV"/>
        </w:rPr>
        <w:t>Sarunu procedūrā ar publikāciju “Vilciena digitālo radiosakaru sistēmas ieviešanas projekta būvuzraudzība”</w:t>
      </w:r>
    </w:p>
    <w:p w14:paraId="2F246A60" w14:textId="77777777" w:rsidR="00BE64B7" w:rsidRPr="00A02511" w:rsidRDefault="00BE64B7" w:rsidP="00BE64B7">
      <w:pPr>
        <w:pStyle w:val="Default"/>
        <w:jc w:val="center"/>
        <w:rPr>
          <w:b/>
          <w:lang w:val="lv-LV"/>
        </w:rPr>
      </w:pPr>
      <w:r w:rsidRPr="00A02511">
        <w:rPr>
          <w:b/>
          <w:lang w:val="lv-LV"/>
        </w:rPr>
        <w:t xml:space="preserve">iepirkuma identifikācijas Nr. </w:t>
      </w:r>
      <w:proofErr w:type="spellStart"/>
      <w:r w:rsidRPr="00A02511">
        <w:rPr>
          <w:b/>
          <w:lang w:val="lv-LV"/>
        </w:rPr>
        <w:t>LDz</w:t>
      </w:r>
      <w:proofErr w:type="spellEnd"/>
      <w:r w:rsidRPr="00A02511">
        <w:rPr>
          <w:b/>
          <w:lang w:val="lv-LV"/>
        </w:rPr>
        <w:t xml:space="preserve"> 2020/27-IBz</w:t>
      </w:r>
    </w:p>
    <w:p w14:paraId="2311A58A" w14:textId="77777777" w:rsidR="00BE64B7" w:rsidRPr="00A02511" w:rsidRDefault="00BE64B7" w:rsidP="00BE64B7">
      <w:pPr>
        <w:pStyle w:val="Default"/>
        <w:jc w:val="center"/>
        <w:rPr>
          <w:b/>
          <w:lang w:val="lv-LV"/>
        </w:rPr>
      </w:pPr>
    </w:p>
    <w:p w14:paraId="77086F9A" w14:textId="3BA63AE5" w:rsidR="00BE64B7" w:rsidRPr="00A02511" w:rsidRDefault="00BE64B7" w:rsidP="00BE64B7">
      <w:pPr>
        <w:pStyle w:val="Default"/>
        <w:jc w:val="center"/>
        <w:rPr>
          <w:b/>
          <w:lang w:val="lv-LV"/>
        </w:rPr>
      </w:pPr>
      <w:r w:rsidRPr="00A02511">
        <w:rPr>
          <w:b/>
          <w:lang w:val="lv-LV"/>
        </w:rPr>
        <w:t>ieinteresētā piegādātāja jautājumi (saņemts 12.10.2020.) un iepirkuma komisijas sniegtās atbildes:</w:t>
      </w:r>
    </w:p>
    <w:p w14:paraId="19AE6A4C" w14:textId="77777777" w:rsidR="00BE64B7" w:rsidRPr="00A02511" w:rsidRDefault="00BE64B7" w:rsidP="00BE64B7">
      <w:pPr>
        <w:pStyle w:val="Default"/>
        <w:jc w:val="center"/>
        <w:rPr>
          <w:b/>
          <w:lang w:val="lv-LV"/>
        </w:rPr>
      </w:pPr>
    </w:p>
    <w:p w14:paraId="5330A91E" w14:textId="5592B417" w:rsidR="00BE64B7" w:rsidRPr="00A02511" w:rsidRDefault="00BE64B7" w:rsidP="00BE64B7">
      <w:pPr>
        <w:pStyle w:val="Default"/>
        <w:jc w:val="center"/>
        <w:rPr>
          <w:b/>
          <w:smallCaps/>
          <w:lang w:val="lv-LV"/>
        </w:rPr>
      </w:pPr>
      <w:r w:rsidRPr="00A02511">
        <w:rPr>
          <w:b/>
          <w:smallCaps/>
          <w:lang w:val="lv-LV"/>
        </w:rPr>
        <w:t>Skaidrojums Nr.2</w:t>
      </w:r>
    </w:p>
    <w:p w14:paraId="0CD4D6FE" w14:textId="77777777" w:rsidR="00BE64B7" w:rsidRPr="00A02511" w:rsidRDefault="00BE64B7" w:rsidP="00BE64B7">
      <w:pPr>
        <w:pStyle w:val="Default"/>
        <w:jc w:val="center"/>
        <w:rPr>
          <w:b/>
          <w:smallCaps/>
          <w:lang w:val="lv-LV"/>
        </w:rPr>
      </w:pPr>
    </w:p>
    <w:tbl>
      <w:tblPr>
        <w:tblStyle w:val="TableGrid"/>
        <w:tblW w:w="9781" w:type="dxa"/>
        <w:tblInd w:w="-572" w:type="dxa"/>
        <w:tblLook w:val="04A0" w:firstRow="1" w:lastRow="0" w:firstColumn="1" w:lastColumn="0" w:noHBand="0" w:noVBand="1"/>
      </w:tblPr>
      <w:tblGrid>
        <w:gridCol w:w="5964"/>
        <w:gridCol w:w="3817"/>
      </w:tblGrid>
      <w:tr w:rsidR="00BE64B7" w:rsidRPr="00D570ED" w14:paraId="60CD2C9F" w14:textId="77777777" w:rsidTr="00BE64B7">
        <w:tc>
          <w:tcPr>
            <w:tcW w:w="5964" w:type="dxa"/>
            <w:tcBorders>
              <w:bottom w:val="single" w:sz="4" w:space="0" w:color="auto"/>
            </w:tcBorders>
          </w:tcPr>
          <w:p w14:paraId="5C4881BF" w14:textId="77777777" w:rsidR="00BE64B7" w:rsidRPr="00D570ED" w:rsidRDefault="00BE64B7" w:rsidP="005E0285">
            <w:pPr>
              <w:pStyle w:val="Default"/>
              <w:jc w:val="center"/>
              <w:rPr>
                <w:b/>
                <w:lang w:val="lv-LV"/>
              </w:rPr>
            </w:pPr>
            <w:r w:rsidRPr="00D570ED">
              <w:rPr>
                <w:b/>
                <w:lang w:val="lv-LV"/>
              </w:rPr>
              <w:t>Jautājums</w:t>
            </w:r>
          </w:p>
        </w:tc>
        <w:tc>
          <w:tcPr>
            <w:tcW w:w="3817" w:type="dxa"/>
            <w:tcBorders>
              <w:bottom w:val="single" w:sz="4" w:space="0" w:color="auto"/>
            </w:tcBorders>
          </w:tcPr>
          <w:p w14:paraId="64A6746C" w14:textId="77777777" w:rsidR="00BE64B7" w:rsidRPr="00D570ED" w:rsidRDefault="00BE64B7" w:rsidP="005E0285">
            <w:pPr>
              <w:pStyle w:val="Default"/>
              <w:jc w:val="center"/>
              <w:rPr>
                <w:b/>
                <w:lang w:val="lv-LV"/>
              </w:rPr>
            </w:pPr>
            <w:r w:rsidRPr="00D570ED">
              <w:rPr>
                <w:b/>
                <w:lang w:val="lv-LV"/>
              </w:rPr>
              <w:t>Atbilde</w:t>
            </w:r>
          </w:p>
        </w:tc>
      </w:tr>
      <w:tr w:rsidR="00BE64B7" w:rsidRPr="00980808" w14:paraId="7C4513C0" w14:textId="77777777" w:rsidTr="00BE64B7">
        <w:tc>
          <w:tcPr>
            <w:tcW w:w="5964" w:type="dxa"/>
            <w:tcBorders>
              <w:bottom w:val="nil"/>
            </w:tcBorders>
          </w:tcPr>
          <w:p w14:paraId="3A35C45A" w14:textId="4D72C3DD" w:rsidR="00BE64B7" w:rsidRPr="00980808" w:rsidRDefault="00BE64B7" w:rsidP="00980808">
            <w:pPr>
              <w:pStyle w:val="Default"/>
              <w:jc w:val="both"/>
              <w:rPr>
                <w:b/>
                <w:lang w:val="lv-LV"/>
              </w:rPr>
            </w:pPr>
            <w:r w:rsidRPr="00980808">
              <w:rPr>
                <w:b/>
                <w:lang w:val="lv-LV"/>
              </w:rPr>
              <w:t>1.jautājums</w:t>
            </w:r>
          </w:p>
        </w:tc>
        <w:tc>
          <w:tcPr>
            <w:tcW w:w="3817" w:type="dxa"/>
            <w:tcBorders>
              <w:bottom w:val="nil"/>
            </w:tcBorders>
          </w:tcPr>
          <w:p w14:paraId="3BBA7C73" w14:textId="253716CF" w:rsidR="00BE64B7" w:rsidRPr="00980808" w:rsidRDefault="00BE64B7" w:rsidP="005E0285">
            <w:pPr>
              <w:pStyle w:val="Default"/>
              <w:jc w:val="both"/>
              <w:rPr>
                <w:b/>
                <w:lang w:val="lv-LV"/>
              </w:rPr>
            </w:pPr>
            <w:r w:rsidRPr="00980808">
              <w:rPr>
                <w:b/>
                <w:lang w:val="lv-LV"/>
              </w:rPr>
              <w:t>1.atbilde</w:t>
            </w:r>
          </w:p>
        </w:tc>
      </w:tr>
      <w:tr w:rsidR="00BE64B7" w:rsidRPr="00A02511" w14:paraId="5A2BB09F" w14:textId="77777777" w:rsidTr="00BE64B7">
        <w:tc>
          <w:tcPr>
            <w:tcW w:w="5964" w:type="dxa"/>
            <w:tcBorders>
              <w:top w:val="nil"/>
              <w:bottom w:val="single" w:sz="4" w:space="0" w:color="auto"/>
            </w:tcBorders>
          </w:tcPr>
          <w:p w14:paraId="59DE981F" w14:textId="17D30A79" w:rsidR="00BE64B7" w:rsidRPr="00A02511" w:rsidRDefault="00BE64B7" w:rsidP="00980808">
            <w:pPr>
              <w:pStyle w:val="Default"/>
              <w:ind w:firstLine="179"/>
              <w:jc w:val="both"/>
              <w:rPr>
                <w:lang w:val="lv-LV"/>
              </w:rPr>
            </w:pPr>
            <w:r w:rsidRPr="00A02511">
              <w:rPr>
                <w:lang w:val="lv-LV"/>
              </w:rPr>
              <w:t>Lūdzu sniegt informāciju par sarunu procedūras būvuzraudzības pakalpojumu paredzēto budžetu?</w:t>
            </w:r>
          </w:p>
        </w:tc>
        <w:tc>
          <w:tcPr>
            <w:tcW w:w="3817" w:type="dxa"/>
            <w:tcBorders>
              <w:top w:val="nil"/>
              <w:bottom w:val="single" w:sz="4" w:space="0" w:color="auto"/>
            </w:tcBorders>
          </w:tcPr>
          <w:p w14:paraId="4B7ECA82" w14:textId="2E6E5C8B" w:rsidR="002716A7" w:rsidRPr="00A02511" w:rsidRDefault="00397F25" w:rsidP="00980808">
            <w:pPr>
              <w:pStyle w:val="Default"/>
              <w:ind w:firstLine="168"/>
              <w:jc w:val="both"/>
              <w:rPr>
                <w:lang w:val="lv-LV"/>
              </w:rPr>
            </w:pPr>
            <w:r w:rsidRPr="00A02511">
              <w:rPr>
                <w:lang w:val="lv-LV"/>
              </w:rPr>
              <w:t>Paredzamā līgumcena ir 190 000.00 EUR</w:t>
            </w:r>
            <w:r w:rsidR="00D04955" w:rsidRPr="00A02511">
              <w:rPr>
                <w:lang w:val="lv-LV"/>
              </w:rPr>
              <w:t>.</w:t>
            </w:r>
          </w:p>
        </w:tc>
      </w:tr>
      <w:tr w:rsidR="00BE64B7" w:rsidRPr="00A02511" w14:paraId="5E7871CA" w14:textId="77777777" w:rsidTr="00BE64B7">
        <w:tc>
          <w:tcPr>
            <w:tcW w:w="5964" w:type="dxa"/>
            <w:tcBorders>
              <w:bottom w:val="nil"/>
            </w:tcBorders>
          </w:tcPr>
          <w:p w14:paraId="536D257E" w14:textId="27885503" w:rsidR="00BE64B7" w:rsidRPr="00A02511" w:rsidRDefault="00BE64B7" w:rsidP="00980808">
            <w:pPr>
              <w:pStyle w:val="Default"/>
              <w:jc w:val="both"/>
              <w:rPr>
                <w:b/>
                <w:bCs/>
                <w:lang w:val="lv-LV"/>
              </w:rPr>
            </w:pPr>
            <w:r w:rsidRPr="00A02511">
              <w:rPr>
                <w:b/>
                <w:bCs/>
                <w:lang w:val="lv-LV"/>
              </w:rPr>
              <w:t>2.jautājums</w:t>
            </w:r>
          </w:p>
        </w:tc>
        <w:tc>
          <w:tcPr>
            <w:tcW w:w="3817" w:type="dxa"/>
            <w:tcBorders>
              <w:bottom w:val="nil"/>
            </w:tcBorders>
          </w:tcPr>
          <w:p w14:paraId="1D4440D8" w14:textId="4B93644E" w:rsidR="00BE64B7" w:rsidRPr="00A02511" w:rsidRDefault="00BE64B7" w:rsidP="00980808">
            <w:pPr>
              <w:pStyle w:val="Default"/>
              <w:jc w:val="both"/>
              <w:rPr>
                <w:rFonts w:eastAsia="Times New Roman"/>
                <w:b/>
                <w:bCs/>
                <w:lang w:val="lv-LV"/>
              </w:rPr>
            </w:pPr>
            <w:r w:rsidRPr="00A02511">
              <w:rPr>
                <w:rFonts w:eastAsia="Times New Roman"/>
                <w:b/>
                <w:bCs/>
                <w:lang w:val="lv-LV"/>
              </w:rPr>
              <w:t>2.atbilde</w:t>
            </w:r>
          </w:p>
        </w:tc>
      </w:tr>
      <w:tr w:rsidR="00BE64B7" w:rsidRPr="00A02511" w14:paraId="052E9D49" w14:textId="77777777" w:rsidTr="00BE64B7">
        <w:tc>
          <w:tcPr>
            <w:tcW w:w="5964" w:type="dxa"/>
            <w:tcBorders>
              <w:top w:val="nil"/>
              <w:bottom w:val="single" w:sz="4" w:space="0" w:color="auto"/>
            </w:tcBorders>
          </w:tcPr>
          <w:p w14:paraId="10B94110" w14:textId="77777777" w:rsidR="00BE64B7" w:rsidRPr="00A02511" w:rsidRDefault="00BE64B7" w:rsidP="00980808">
            <w:pPr>
              <w:ind w:firstLine="179"/>
              <w:rPr>
                <w:rFonts w:eastAsia="Calibri"/>
                <w:szCs w:val="24"/>
              </w:rPr>
            </w:pPr>
            <w:r w:rsidRPr="00A02511">
              <w:rPr>
                <w:rFonts w:eastAsia="Calibri"/>
                <w:szCs w:val="24"/>
              </w:rPr>
              <w:t xml:space="preserve">Saskaņā ar nolikuma 1.8.3., 2.3.3. punktiem, darba uzdevuma 3.2. punktu Darba līguma termiņa pagarinājuma gadījumā būvuzraudzības izmaksas netiks kompensētas. Arī norādītie Inženiera riski Darba uzdevuma 2. Pielikumā nav labas prakses piemērs būvuzņēmēja vainu vai arī neprognozējamo klimatisko apstākļu ietekmi noteikt kā neapmaksājamu pozīciju par norīkoto speciālistu paveikto darbu apjomu. </w:t>
            </w:r>
          </w:p>
          <w:p w14:paraId="2E01AF3F" w14:textId="77777777" w:rsidR="00BE64B7" w:rsidRPr="00A02511" w:rsidRDefault="00BE64B7" w:rsidP="00980808">
            <w:pPr>
              <w:ind w:firstLine="321"/>
              <w:rPr>
                <w:rFonts w:eastAsia="Calibri"/>
                <w:szCs w:val="24"/>
              </w:rPr>
            </w:pPr>
            <w:r w:rsidRPr="00A02511">
              <w:rPr>
                <w:rFonts w:eastAsia="Calibri"/>
                <w:szCs w:val="24"/>
              </w:rPr>
              <w:t xml:space="preserve">Lūdzam mainīt šo punktu, jo tā ir ļoti nesamērīga un ierobežojoša prasība, lai Izpildītājs kā Jūsu interešu pārstāvis neatkarīgu iemeslu dēļ strādātu papildus termiņa pagarinājuma gadījumā bez samaksas. </w:t>
            </w:r>
          </w:p>
          <w:p w14:paraId="0AB30B82" w14:textId="11ACD2B7" w:rsidR="00BE64B7" w:rsidRPr="00A02511" w:rsidRDefault="00BE64B7" w:rsidP="00980808">
            <w:pPr>
              <w:pStyle w:val="Default"/>
              <w:ind w:firstLine="321"/>
              <w:jc w:val="both"/>
              <w:rPr>
                <w:lang w:val="lv-LV"/>
              </w:rPr>
            </w:pPr>
            <w:r w:rsidRPr="00A02511">
              <w:rPr>
                <w:rFonts w:eastAsia="Calibri"/>
                <w:lang w:val="lv-LV"/>
              </w:rPr>
              <w:t>Lūdzam paredzēt pagarinājuma gadījumā papildus apmaksu saskaņā ar faktiski noslogoto speciālistu norādītajām stundu likmēm vismaz sākot ar otro kalendāro mēnesi.</w:t>
            </w:r>
          </w:p>
        </w:tc>
        <w:tc>
          <w:tcPr>
            <w:tcW w:w="3817" w:type="dxa"/>
            <w:tcBorders>
              <w:top w:val="nil"/>
              <w:bottom w:val="single" w:sz="4" w:space="0" w:color="auto"/>
            </w:tcBorders>
          </w:tcPr>
          <w:p w14:paraId="11CD1F18" w14:textId="765D4E74" w:rsidR="00BE64B7" w:rsidRPr="00A02511" w:rsidRDefault="003B3AA1" w:rsidP="00980808">
            <w:pPr>
              <w:pStyle w:val="Default"/>
              <w:ind w:firstLine="168"/>
              <w:jc w:val="both"/>
              <w:rPr>
                <w:rFonts w:eastAsia="Times New Roman"/>
                <w:bCs/>
                <w:lang w:val="lv-LV"/>
              </w:rPr>
            </w:pPr>
            <w:r w:rsidRPr="00A02511">
              <w:rPr>
                <w:rFonts w:eastAsia="Times New Roman"/>
                <w:bCs/>
                <w:lang w:val="lv-LV"/>
              </w:rPr>
              <w:t xml:space="preserve">Nolikums netiek grozīts. </w:t>
            </w:r>
            <w:r w:rsidR="00980808">
              <w:rPr>
                <w:rFonts w:eastAsia="Times New Roman"/>
                <w:bCs/>
                <w:lang w:val="lv-LV"/>
              </w:rPr>
              <w:t>P</w:t>
            </w:r>
            <w:r w:rsidRPr="00A02511">
              <w:rPr>
                <w:rFonts w:eastAsia="Times New Roman"/>
                <w:bCs/>
                <w:lang w:val="lv-LV"/>
              </w:rPr>
              <w:t>asūtītājs skaidro, ka</w:t>
            </w:r>
            <w:r w:rsidR="000E2C22" w:rsidRPr="00A02511">
              <w:rPr>
                <w:rFonts w:eastAsia="Times New Roman"/>
                <w:bCs/>
                <w:lang w:val="lv-LV"/>
              </w:rPr>
              <w:t xml:space="preserve"> </w:t>
            </w:r>
            <w:r w:rsidR="00D04955" w:rsidRPr="00A02511">
              <w:rPr>
                <w:rFonts w:eastAsia="Times New Roman"/>
                <w:bCs/>
                <w:lang w:val="lv-LV"/>
              </w:rPr>
              <w:t xml:space="preserve">Līguma </w:t>
            </w:r>
            <w:r w:rsidR="009C4703" w:rsidRPr="00A02511">
              <w:rPr>
                <w:rFonts w:eastAsia="Times New Roman"/>
                <w:bCs/>
                <w:lang w:val="lv-LV"/>
              </w:rPr>
              <w:t xml:space="preserve">izpildes </w:t>
            </w:r>
            <w:r w:rsidR="00D04955" w:rsidRPr="00A02511">
              <w:rPr>
                <w:rFonts w:eastAsia="Times New Roman"/>
                <w:bCs/>
                <w:lang w:val="lv-LV"/>
              </w:rPr>
              <w:t xml:space="preserve">termiņš </w:t>
            </w:r>
            <w:r w:rsidR="00790021" w:rsidRPr="00A02511">
              <w:rPr>
                <w:rFonts w:eastAsia="Times New Roman"/>
                <w:bCs/>
                <w:lang w:val="lv-LV"/>
              </w:rPr>
              <w:t xml:space="preserve">ir </w:t>
            </w:r>
            <w:r w:rsidR="00D04955" w:rsidRPr="00A02511">
              <w:rPr>
                <w:rFonts w:eastAsia="Times New Roman"/>
                <w:bCs/>
                <w:lang w:val="lv-LV"/>
              </w:rPr>
              <w:t xml:space="preserve">24 mēneši no līguma parakstīšanas </w:t>
            </w:r>
            <w:r w:rsidR="00790021" w:rsidRPr="00A02511">
              <w:rPr>
                <w:rFonts w:eastAsia="Times New Roman"/>
                <w:bCs/>
                <w:lang w:val="lv-LV"/>
              </w:rPr>
              <w:t>brīža. A</w:t>
            </w:r>
            <w:r w:rsidR="00D04955" w:rsidRPr="00A02511">
              <w:rPr>
                <w:rFonts w:eastAsia="Times New Roman"/>
                <w:bCs/>
                <w:lang w:val="lv-LV"/>
              </w:rPr>
              <w:t xml:space="preserve">pjomu palielināšana </w:t>
            </w:r>
            <w:r w:rsidR="00790021" w:rsidRPr="00A02511">
              <w:rPr>
                <w:rFonts w:eastAsia="Times New Roman"/>
                <w:bCs/>
                <w:lang w:val="lv-LV"/>
              </w:rPr>
              <w:t xml:space="preserve">un līguma </w:t>
            </w:r>
            <w:r w:rsidR="00D04955" w:rsidRPr="00A02511">
              <w:rPr>
                <w:rFonts w:eastAsia="Times New Roman"/>
                <w:bCs/>
                <w:lang w:val="lv-LV"/>
              </w:rPr>
              <w:t xml:space="preserve">pagarināšana nav paredzēta.  Līguma </w:t>
            </w:r>
            <w:r w:rsidR="00980808">
              <w:rPr>
                <w:rFonts w:eastAsia="Times New Roman"/>
                <w:bCs/>
                <w:lang w:val="lv-LV"/>
              </w:rPr>
              <w:t xml:space="preserve">darbības </w:t>
            </w:r>
            <w:r w:rsidR="00D04955" w:rsidRPr="00A02511">
              <w:rPr>
                <w:rFonts w:eastAsia="Times New Roman"/>
                <w:bCs/>
                <w:lang w:val="lv-LV"/>
              </w:rPr>
              <w:t>laikā sakar</w:t>
            </w:r>
            <w:r w:rsidR="005322AE" w:rsidRPr="00A02511">
              <w:rPr>
                <w:rFonts w:eastAsia="Times New Roman"/>
                <w:bCs/>
                <w:lang w:val="lv-LV"/>
              </w:rPr>
              <w:t>ā</w:t>
            </w:r>
            <w:r w:rsidR="00D04955" w:rsidRPr="00A02511">
              <w:rPr>
                <w:rFonts w:eastAsia="Times New Roman"/>
                <w:bCs/>
                <w:lang w:val="lv-LV"/>
              </w:rPr>
              <w:t xml:space="preserve"> ar </w:t>
            </w:r>
            <w:r w:rsidR="003E3A4D" w:rsidRPr="00A02511">
              <w:rPr>
                <w:rFonts w:eastAsia="Calibri"/>
                <w:lang w:val="lv-LV"/>
              </w:rPr>
              <w:t>būvuzņēmēja darbību vai neprognozējamo klimatisko apstākļu ietekmi ir iespēja mainīt speci</w:t>
            </w:r>
            <w:r w:rsidR="00980808">
              <w:rPr>
                <w:rFonts w:eastAsia="Calibri"/>
                <w:lang w:val="lv-LV"/>
              </w:rPr>
              <w:t>ā</w:t>
            </w:r>
            <w:r w:rsidR="003E3A4D" w:rsidRPr="00A02511">
              <w:rPr>
                <w:rFonts w:eastAsia="Calibri"/>
                <w:lang w:val="lv-LV"/>
              </w:rPr>
              <w:t xml:space="preserve">listu slodzi pēc saskaņošanas </w:t>
            </w:r>
            <w:r w:rsidR="005322AE" w:rsidRPr="00A02511">
              <w:rPr>
                <w:rFonts w:eastAsia="Calibri"/>
                <w:lang w:val="lv-LV"/>
              </w:rPr>
              <w:t>ar</w:t>
            </w:r>
            <w:r w:rsidR="003E3A4D" w:rsidRPr="00A02511">
              <w:rPr>
                <w:rFonts w:eastAsia="Calibri"/>
                <w:lang w:val="lv-LV"/>
              </w:rPr>
              <w:t xml:space="preserve"> </w:t>
            </w:r>
            <w:r w:rsidR="00325B02" w:rsidRPr="00A02511">
              <w:rPr>
                <w:rFonts w:eastAsia="Calibri"/>
                <w:lang w:val="lv-LV"/>
              </w:rPr>
              <w:t>pasūtītāju</w:t>
            </w:r>
            <w:r w:rsidR="003E3A4D" w:rsidRPr="00A02511">
              <w:rPr>
                <w:rFonts w:eastAsia="Calibri"/>
                <w:lang w:val="lv-LV"/>
              </w:rPr>
              <w:t>.</w:t>
            </w:r>
          </w:p>
        </w:tc>
      </w:tr>
      <w:tr w:rsidR="00BE64B7" w:rsidRPr="00A02511" w14:paraId="33BFC4DD" w14:textId="77777777" w:rsidTr="00BE64B7">
        <w:tc>
          <w:tcPr>
            <w:tcW w:w="5964" w:type="dxa"/>
            <w:tcBorders>
              <w:bottom w:val="nil"/>
            </w:tcBorders>
          </w:tcPr>
          <w:p w14:paraId="21EEC12B" w14:textId="5F148F8C" w:rsidR="00BE64B7" w:rsidRPr="00A02511" w:rsidRDefault="00BE64B7" w:rsidP="00980808">
            <w:pPr>
              <w:pStyle w:val="Default"/>
              <w:jc w:val="both"/>
              <w:rPr>
                <w:b/>
                <w:bCs/>
                <w:lang w:val="lv-LV"/>
              </w:rPr>
            </w:pPr>
            <w:r w:rsidRPr="00A02511">
              <w:rPr>
                <w:b/>
                <w:bCs/>
                <w:lang w:val="lv-LV"/>
              </w:rPr>
              <w:t>3.jautājums</w:t>
            </w:r>
          </w:p>
        </w:tc>
        <w:tc>
          <w:tcPr>
            <w:tcW w:w="3817" w:type="dxa"/>
            <w:tcBorders>
              <w:bottom w:val="nil"/>
            </w:tcBorders>
          </w:tcPr>
          <w:p w14:paraId="5F75580D" w14:textId="32D3CAEC" w:rsidR="00BE64B7" w:rsidRPr="00A02511" w:rsidRDefault="00BE64B7" w:rsidP="005E0285">
            <w:pPr>
              <w:pStyle w:val="Default"/>
              <w:jc w:val="both"/>
              <w:rPr>
                <w:rFonts w:eastAsia="Times New Roman"/>
                <w:b/>
                <w:bCs/>
                <w:lang w:val="lv-LV"/>
              </w:rPr>
            </w:pPr>
            <w:r w:rsidRPr="00A02511">
              <w:rPr>
                <w:rFonts w:eastAsia="Times New Roman"/>
                <w:b/>
                <w:bCs/>
                <w:lang w:val="lv-LV"/>
              </w:rPr>
              <w:t>3.atbilde</w:t>
            </w:r>
          </w:p>
        </w:tc>
      </w:tr>
      <w:tr w:rsidR="00BE64B7" w:rsidRPr="00A02511" w14:paraId="7A5DD338" w14:textId="77777777" w:rsidTr="00BE64B7">
        <w:tc>
          <w:tcPr>
            <w:tcW w:w="5964" w:type="dxa"/>
            <w:tcBorders>
              <w:top w:val="nil"/>
              <w:bottom w:val="single" w:sz="4" w:space="0" w:color="auto"/>
            </w:tcBorders>
          </w:tcPr>
          <w:p w14:paraId="5EF01977" w14:textId="1F4B032D" w:rsidR="00BE64B7" w:rsidRPr="00A02511" w:rsidRDefault="00BE64B7" w:rsidP="00980808">
            <w:pPr>
              <w:pStyle w:val="Default"/>
              <w:ind w:firstLine="179"/>
              <w:jc w:val="both"/>
              <w:rPr>
                <w:lang w:val="lv-LV"/>
              </w:rPr>
            </w:pPr>
            <w:r w:rsidRPr="00A02511">
              <w:rPr>
                <w:bCs/>
                <w:lang w:val="lv-LV"/>
              </w:rPr>
              <w:t>Lūdzu koriģēt nolikuma punkta 3.2.5.2 apakšpunktā 2) “Torņu un konteineru būvdarbu būvuzraugs - atbildīgais būvuzraugs” kvalifikācijas prasības samazinot būvuzraudzības prasību no 20 (divdesmit) torņiem uz 10 (desmit) kā tas ir noteikts būvdarbu līguma atbildīgajam darbu vadītājam, jo tā ir nesamērīga, konkurenci ierobežojoša prasība viena būvniecība procesa dalībniekiem, atbildīgajam darbu vadītāja, atbildīgajam būvdarbu būvuzraugam, norādīt dažādas pieredzes prasības.</w:t>
            </w:r>
          </w:p>
        </w:tc>
        <w:tc>
          <w:tcPr>
            <w:tcW w:w="3817" w:type="dxa"/>
            <w:tcBorders>
              <w:top w:val="nil"/>
              <w:bottom w:val="single" w:sz="4" w:space="0" w:color="auto"/>
            </w:tcBorders>
          </w:tcPr>
          <w:p w14:paraId="3C0DD980" w14:textId="38E1CBC7" w:rsidR="00BE64B7" w:rsidRPr="00A02511" w:rsidRDefault="00C67EA6" w:rsidP="00980808">
            <w:pPr>
              <w:pStyle w:val="Default"/>
              <w:ind w:firstLine="168"/>
              <w:jc w:val="both"/>
              <w:rPr>
                <w:rFonts w:eastAsia="Times New Roman"/>
                <w:bCs/>
                <w:lang w:val="lv-LV"/>
              </w:rPr>
            </w:pPr>
            <w:r w:rsidRPr="00A02511">
              <w:rPr>
                <w:rFonts w:eastAsia="Times New Roman"/>
                <w:bCs/>
                <w:lang w:val="lv-LV"/>
              </w:rPr>
              <w:t xml:space="preserve">Nolikums netiek grozīts. </w:t>
            </w:r>
            <w:r w:rsidR="005275D6" w:rsidRPr="00A02511">
              <w:rPr>
                <w:rFonts w:eastAsia="Times New Roman"/>
                <w:bCs/>
                <w:lang w:val="lv-LV"/>
              </w:rPr>
              <w:t xml:space="preserve">Pasūtītājs skaidro, ka </w:t>
            </w:r>
            <w:r w:rsidR="00325B02" w:rsidRPr="00A02511">
              <w:rPr>
                <w:rFonts w:eastAsia="Times New Roman"/>
                <w:bCs/>
                <w:lang w:val="lv-LV"/>
              </w:rPr>
              <w:t xml:space="preserve">prasība ir samērīga attiecībā pret </w:t>
            </w:r>
            <w:r w:rsidR="005275D6" w:rsidRPr="00A02511">
              <w:rPr>
                <w:rFonts w:eastAsia="Times New Roman"/>
                <w:bCs/>
                <w:lang w:val="lv-LV"/>
              </w:rPr>
              <w:t>plānot</w:t>
            </w:r>
            <w:r w:rsidR="0095643A" w:rsidRPr="00A02511">
              <w:rPr>
                <w:rFonts w:eastAsia="Times New Roman"/>
                <w:bCs/>
                <w:lang w:val="lv-LV"/>
              </w:rPr>
              <w:t>ajiem darbiem</w:t>
            </w:r>
            <w:r w:rsidR="00325B02" w:rsidRPr="00A02511">
              <w:rPr>
                <w:rFonts w:eastAsia="Times New Roman"/>
                <w:bCs/>
                <w:lang w:val="lv-LV"/>
              </w:rPr>
              <w:t xml:space="preserve"> </w:t>
            </w:r>
            <w:r w:rsidR="005275D6" w:rsidRPr="00A02511">
              <w:rPr>
                <w:rFonts w:eastAsia="Times New Roman"/>
                <w:bCs/>
                <w:lang w:val="lv-LV"/>
              </w:rPr>
              <w:t>projekt</w:t>
            </w:r>
            <w:r w:rsidR="0095643A" w:rsidRPr="00A02511">
              <w:rPr>
                <w:rFonts w:eastAsia="Times New Roman"/>
                <w:bCs/>
                <w:lang w:val="lv-LV"/>
              </w:rPr>
              <w:t xml:space="preserve">ā (projektā </w:t>
            </w:r>
            <w:r w:rsidR="0095643A" w:rsidRPr="00A02511">
              <w:rPr>
                <w:rFonts w:eastAsia="Times New Roman"/>
                <w:bCs/>
                <w:lang w:val="lv-LV"/>
              </w:rPr>
              <w:t xml:space="preserve">paredzēta </w:t>
            </w:r>
            <w:r w:rsidR="00511A37">
              <w:rPr>
                <w:rFonts w:eastAsia="Times New Roman"/>
                <w:bCs/>
                <w:lang w:val="lv-LV"/>
              </w:rPr>
              <w:t>vismaz 50</w:t>
            </w:r>
            <w:r w:rsidR="00511A37" w:rsidRPr="00A02511">
              <w:rPr>
                <w:rFonts w:eastAsia="Times New Roman"/>
                <w:bCs/>
                <w:lang w:val="lv-LV"/>
              </w:rPr>
              <w:t xml:space="preserve"> </w:t>
            </w:r>
            <w:r w:rsidR="0095643A" w:rsidRPr="00A02511">
              <w:rPr>
                <w:rFonts w:eastAsia="Times New Roman"/>
                <w:bCs/>
                <w:lang w:val="lv-LV"/>
              </w:rPr>
              <w:t xml:space="preserve">torņu izbūve) </w:t>
            </w:r>
          </w:p>
        </w:tc>
      </w:tr>
      <w:tr w:rsidR="00BE64B7" w:rsidRPr="00A02511" w14:paraId="54681ADF" w14:textId="77777777" w:rsidTr="00BE64B7">
        <w:tc>
          <w:tcPr>
            <w:tcW w:w="5964" w:type="dxa"/>
            <w:tcBorders>
              <w:bottom w:val="nil"/>
            </w:tcBorders>
          </w:tcPr>
          <w:p w14:paraId="7C7D15BC" w14:textId="073A351F" w:rsidR="00BE64B7" w:rsidRPr="00A02511" w:rsidRDefault="00BE64B7" w:rsidP="00980808">
            <w:pPr>
              <w:pStyle w:val="Default"/>
              <w:jc w:val="both"/>
              <w:rPr>
                <w:b/>
                <w:bCs/>
                <w:lang w:val="lv-LV"/>
              </w:rPr>
            </w:pPr>
            <w:r w:rsidRPr="00A02511">
              <w:rPr>
                <w:b/>
                <w:bCs/>
                <w:lang w:val="lv-LV"/>
              </w:rPr>
              <w:t>4.jautājums</w:t>
            </w:r>
          </w:p>
        </w:tc>
        <w:tc>
          <w:tcPr>
            <w:tcW w:w="3817" w:type="dxa"/>
            <w:tcBorders>
              <w:bottom w:val="nil"/>
            </w:tcBorders>
          </w:tcPr>
          <w:p w14:paraId="65B7BA04" w14:textId="382F3CBF" w:rsidR="00BE64B7" w:rsidRPr="00A02511" w:rsidRDefault="00BE64B7" w:rsidP="00980808">
            <w:pPr>
              <w:pStyle w:val="Default"/>
              <w:ind w:firstLine="14"/>
              <w:jc w:val="both"/>
              <w:rPr>
                <w:rFonts w:eastAsia="Times New Roman"/>
                <w:b/>
                <w:bCs/>
                <w:lang w:val="lv-LV"/>
              </w:rPr>
            </w:pPr>
            <w:r w:rsidRPr="00A02511">
              <w:rPr>
                <w:rFonts w:eastAsia="Times New Roman"/>
                <w:b/>
                <w:bCs/>
                <w:lang w:val="lv-LV"/>
              </w:rPr>
              <w:t>4.atbilde</w:t>
            </w:r>
          </w:p>
        </w:tc>
      </w:tr>
      <w:tr w:rsidR="00BE64B7" w:rsidRPr="00A02511" w14:paraId="57032876" w14:textId="77777777" w:rsidTr="005C42E0">
        <w:tc>
          <w:tcPr>
            <w:tcW w:w="5964" w:type="dxa"/>
            <w:tcBorders>
              <w:top w:val="nil"/>
              <w:bottom w:val="single" w:sz="4" w:space="0" w:color="auto"/>
            </w:tcBorders>
          </w:tcPr>
          <w:p w14:paraId="583BD51A" w14:textId="77777777" w:rsidR="00BE64B7" w:rsidRPr="00A02511" w:rsidRDefault="00BE64B7" w:rsidP="00980808">
            <w:pPr>
              <w:pStyle w:val="Default"/>
              <w:ind w:firstLine="179"/>
              <w:jc w:val="both"/>
              <w:rPr>
                <w:lang w:val="lv-LV"/>
              </w:rPr>
            </w:pPr>
            <w:r w:rsidRPr="00A02511">
              <w:rPr>
                <w:lang w:val="lv-LV"/>
              </w:rPr>
              <w:t xml:space="preserve">Lūdzu paskaidrot kāda nozīme ir pieprasītajiem nolikuma punktos 3.2.5.3. “Radiosakaru sistēmu ieviešanas darbu </w:t>
            </w:r>
            <w:r w:rsidRPr="00A02511">
              <w:rPr>
                <w:lang w:val="lv-LV"/>
              </w:rPr>
              <w:lastRenderedPageBreak/>
              <w:t>uzraugs”, apakšpunktā 1) noteiktajai prasībai par speciālista digitālo radiosakaru sistēmu ražotāja sertifikātu un 3.2.5.4. “Elektronisko sakaru sistēmu un datu pārraides tīklu uzstādīšanas darbu uzraugs” apakšpunktā 1) noteiktajai prasībai par speciālista datu pārraides sistēmu ražotāja sertifikātu?  Katram no šiem speciālistiem, iespējams, ir citu sistēmu ražotāju izdoti sertifikāti un tie nebūs analoģiski būvuzņēmēja izstrādātajā būvprojektā vai arī pat tādu nav, strādājot pie mobilo sakaru tīklu operatoriem. Tādējādi minētā prasība par noteiktajiem ražotāja sertifikātiem nav pamatota un tikai ierobežo šo abu speciālistu dalību sarunu procedūrā.</w:t>
            </w:r>
          </w:p>
          <w:p w14:paraId="38DBBAAC" w14:textId="7FF5BA3B" w:rsidR="00BE64B7" w:rsidRPr="00A02511" w:rsidRDefault="00BE64B7" w:rsidP="00BE64B7">
            <w:pPr>
              <w:shd w:val="clear" w:color="auto" w:fill="FFFFFF"/>
              <w:spacing w:after="60"/>
              <w:ind w:right="62" w:firstLine="459"/>
              <w:rPr>
                <w:szCs w:val="24"/>
              </w:rPr>
            </w:pPr>
            <w:r w:rsidRPr="00A02511">
              <w:rPr>
                <w:szCs w:val="24"/>
              </w:rPr>
              <w:t>Lūdzam apakšpunktos 1) noteikto prasību par speciālista digitālo radiosakaru sistēmu ražotāja sertifikātu (nolikuma punkts 3.2.5.3.) un par speciālista datu pārraides sistēmu ražotāja sertifikātu (nolikuma punkts 3.2.5.4.) izslēgt no nolikuma.</w:t>
            </w:r>
          </w:p>
        </w:tc>
        <w:tc>
          <w:tcPr>
            <w:tcW w:w="3817" w:type="dxa"/>
            <w:tcBorders>
              <w:top w:val="nil"/>
              <w:bottom w:val="single" w:sz="4" w:space="0" w:color="auto"/>
            </w:tcBorders>
          </w:tcPr>
          <w:p w14:paraId="60953445" w14:textId="7497B678" w:rsidR="00BE64B7" w:rsidRPr="00871481" w:rsidRDefault="00871481" w:rsidP="00980808">
            <w:pPr>
              <w:pStyle w:val="Default"/>
              <w:ind w:firstLine="168"/>
              <w:jc w:val="both"/>
              <w:rPr>
                <w:lang w:val="lv-LV"/>
              </w:rPr>
            </w:pPr>
            <w:r w:rsidRPr="00871481">
              <w:rPr>
                <w:lang w:val="lv-LV"/>
              </w:rPr>
              <w:lastRenderedPageBreak/>
              <w:t>Nolikums netiek grozīts</w:t>
            </w:r>
            <w:r w:rsidRPr="00871481">
              <w:rPr>
                <w:b/>
                <w:bCs/>
                <w:lang w:val="lv-LV"/>
              </w:rPr>
              <w:t xml:space="preserve">. </w:t>
            </w:r>
            <w:r w:rsidRPr="00871481">
              <w:rPr>
                <w:lang w:val="lv-LV"/>
              </w:rPr>
              <w:t xml:space="preserve">Pasūtītājs </w:t>
            </w:r>
            <w:r>
              <w:rPr>
                <w:lang w:val="lv-LV"/>
              </w:rPr>
              <w:t xml:space="preserve">skaidro, ka prasības </w:t>
            </w:r>
            <w:r w:rsidRPr="00871481">
              <w:rPr>
                <w:lang w:val="lv-LV"/>
              </w:rPr>
              <w:t>izvirzī</w:t>
            </w:r>
            <w:r>
              <w:rPr>
                <w:lang w:val="lv-LV"/>
              </w:rPr>
              <w:t>tas</w:t>
            </w:r>
            <w:r w:rsidRPr="00871481">
              <w:rPr>
                <w:lang w:val="lv-LV"/>
              </w:rPr>
              <w:t xml:space="preserve">, ņemot </w:t>
            </w:r>
            <w:r w:rsidRPr="00871481">
              <w:rPr>
                <w:lang w:val="lv-LV"/>
              </w:rPr>
              <w:lastRenderedPageBreak/>
              <w:t>vērā tieši Darba uzdevumā (nolikuma 2.pielikums) norādīto izbūvējamo “</w:t>
            </w:r>
            <w:r w:rsidRPr="00A02C1C">
              <w:rPr>
                <w:color w:val="auto"/>
                <w:lang w:val="lv-LV"/>
              </w:rPr>
              <w:t>digitālo radiosakaru sistēmu” un “datu pār</w:t>
            </w:r>
            <w:bookmarkStart w:id="0" w:name="_GoBack"/>
            <w:bookmarkEnd w:id="0"/>
            <w:r w:rsidRPr="00A02C1C">
              <w:rPr>
                <w:color w:val="auto"/>
                <w:lang w:val="lv-LV"/>
              </w:rPr>
              <w:t xml:space="preserve">raides sistēmu” tehnoloģisko procesu un konstruktīvo risinājumu specifiku. Der jebkura sistēmas ražotāja sertifikāts, kur teorētiskie, tehnoloģiskie un fizikas principi ir līdzvērtīgi “digitālo radiosakaru sistēmām” un “datu pārraides </w:t>
            </w:r>
            <w:r w:rsidRPr="00871481">
              <w:rPr>
                <w:lang w:val="lv-LV"/>
              </w:rPr>
              <w:t>sistēmām”</w:t>
            </w:r>
            <w:r>
              <w:rPr>
                <w:lang w:val="lv-LV"/>
              </w:rPr>
              <w:t>.</w:t>
            </w:r>
          </w:p>
        </w:tc>
      </w:tr>
      <w:tr w:rsidR="00BE64B7" w:rsidRPr="00A02511" w14:paraId="1997C4D2" w14:textId="77777777" w:rsidTr="005C42E0">
        <w:tc>
          <w:tcPr>
            <w:tcW w:w="5964" w:type="dxa"/>
            <w:tcBorders>
              <w:bottom w:val="nil"/>
            </w:tcBorders>
          </w:tcPr>
          <w:p w14:paraId="2C7AEF22" w14:textId="54C95DD6" w:rsidR="00BE64B7" w:rsidRPr="00A02511" w:rsidRDefault="00BE64B7" w:rsidP="002A48E8">
            <w:pPr>
              <w:pStyle w:val="Default"/>
              <w:jc w:val="both"/>
              <w:rPr>
                <w:b/>
                <w:bCs/>
                <w:lang w:val="lv-LV"/>
              </w:rPr>
            </w:pPr>
            <w:r w:rsidRPr="00A02511">
              <w:rPr>
                <w:b/>
                <w:bCs/>
                <w:lang w:val="lv-LV"/>
              </w:rPr>
              <w:lastRenderedPageBreak/>
              <w:t>5.jautājums</w:t>
            </w:r>
          </w:p>
        </w:tc>
        <w:tc>
          <w:tcPr>
            <w:tcW w:w="3817" w:type="dxa"/>
            <w:tcBorders>
              <w:bottom w:val="nil"/>
            </w:tcBorders>
          </w:tcPr>
          <w:p w14:paraId="0334BF33" w14:textId="26C52D2D" w:rsidR="00BE64B7" w:rsidRPr="00A02511" w:rsidRDefault="00BE64B7" w:rsidP="005E0285">
            <w:pPr>
              <w:pStyle w:val="Default"/>
              <w:jc w:val="both"/>
              <w:rPr>
                <w:rFonts w:eastAsia="Times New Roman"/>
                <w:b/>
                <w:bCs/>
                <w:lang w:val="lv-LV"/>
              </w:rPr>
            </w:pPr>
            <w:r w:rsidRPr="00A02511">
              <w:rPr>
                <w:rFonts w:eastAsia="Times New Roman"/>
                <w:b/>
                <w:bCs/>
                <w:lang w:val="lv-LV"/>
              </w:rPr>
              <w:t>5.atbilde</w:t>
            </w:r>
          </w:p>
        </w:tc>
      </w:tr>
      <w:tr w:rsidR="00BE64B7" w:rsidRPr="00A02511" w14:paraId="46F885AF" w14:textId="77777777" w:rsidTr="00871481">
        <w:trPr>
          <w:trHeight w:val="4019"/>
        </w:trPr>
        <w:tc>
          <w:tcPr>
            <w:tcW w:w="5964" w:type="dxa"/>
            <w:tcBorders>
              <w:top w:val="nil"/>
              <w:bottom w:val="single" w:sz="4" w:space="0" w:color="auto"/>
            </w:tcBorders>
          </w:tcPr>
          <w:p w14:paraId="20DF2C66" w14:textId="77777777" w:rsidR="00BE64B7" w:rsidRPr="00A02511" w:rsidRDefault="00BE64B7" w:rsidP="00980808">
            <w:pPr>
              <w:pStyle w:val="Default"/>
              <w:ind w:firstLine="179"/>
              <w:jc w:val="both"/>
              <w:rPr>
                <w:lang w:val="lv-LV"/>
              </w:rPr>
            </w:pPr>
            <w:r w:rsidRPr="00A02511">
              <w:rPr>
                <w:lang w:val="lv-LV"/>
              </w:rPr>
              <w:t>Lūdzu paskaidrot kāda nolikuma punktā 3.2.5.6. “Cits speciālists” prasības, ka ir attiecināmas tādas pašas prasības par iesniedzamiem dokumentiem? Pasūtītājam izstrādājot tehniskās prasības ir jānorāda konkrētas prasības, bet šajā gadījumā nav saprotami kādi iesniedzamie dokumenti (atsauksme vai līgums) būtu jānorāda, lai apliecinātu konkrēta cita speciālista atbilstību minētā līguma izpildei?</w:t>
            </w:r>
          </w:p>
          <w:p w14:paraId="418F2D8E" w14:textId="2CB7026C" w:rsidR="00BE64B7" w:rsidRPr="00A02511" w:rsidRDefault="00BE64B7" w:rsidP="005E0285">
            <w:pPr>
              <w:pStyle w:val="Default"/>
              <w:ind w:firstLine="164"/>
              <w:jc w:val="both"/>
              <w:rPr>
                <w:lang w:val="lv-LV"/>
              </w:rPr>
            </w:pPr>
            <w:r w:rsidRPr="00A02511">
              <w:rPr>
                <w:lang w:val="lv-LV"/>
              </w:rPr>
              <w:t>Lūdzu izslēgt šo punktu vai arī norādīt konkrēti kādi dokumenti ir jāiesniedz?</w:t>
            </w:r>
          </w:p>
        </w:tc>
        <w:tc>
          <w:tcPr>
            <w:tcW w:w="3817" w:type="dxa"/>
            <w:tcBorders>
              <w:top w:val="nil"/>
              <w:bottom w:val="single" w:sz="4" w:space="0" w:color="auto"/>
            </w:tcBorders>
          </w:tcPr>
          <w:p w14:paraId="2CD3733C" w14:textId="3FCC73FA" w:rsidR="00BE64B7" w:rsidRPr="00A02511" w:rsidRDefault="0095643A" w:rsidP="00980808">
            <w:pPr>
              <w:pStyle w:val="Default"/>
              <w:ind w:firstLine="168"/>
              <w:jc w:val="both"/>
              <w:rPr>
                <w:rFonts w:eastAsia="Times New Roman"/>
                <w:bCs/>
                <w:lang w:val="lv-LV"/>
              </w:rPr>
            </w:pPr>
            <w:r w:rsidRPr="00A02511">
              <w:rPr>
                <w:rFonts w:eastAsia="Times New Roman"/>
                <w:bCs/>
                <w:lang w:val="lv-LV"/>
              </w:rPr>
              <w:t>P</w:t>
            </w:r>
            <w:r w:rsidR="00D157F1" w:rsidRPr="00A02511">
              <w:rPr>
                <w:rFonts w:eastAsia="Times New Roman"/>
                <w:bCs/>
                <w:lang w:val="lv-LV"/>
              </w:rPr>
              <w:t>asūtītājs skaidro, ka</w:t>
            </w:r>
            <w:r w:rsidR="008870B6" w:rsidRPr="00A02511">
              <w:rPr>
                <w:rFonts w:eastAsia="Times New Roman"/>
                <w:bCs/>
                <w:lang w:val="lv-LV"/>
              </w:rPr>
              <w:t>,</w:t>
            </w:r>
            <w:r w:rsidR="00D157F1" w:rsidRPr="00A02511">
              <w:rPr>
                <w:rFonts w:eastAsia="Times New Roman"/>
                <w:bCs/>
                <w:lang w:val="lv-LV"/>
              </w:rPr>
              <w:t xml:space="preserve"> p</w:t>
            </w:r>
            <w:r w:rsidR="003E3A4D" w:rsidRPr="00A02511">
              <w:rPr>
                <w:rFonts w:eastAsia="Times New Roman"/>
                <w:bCs/>
                <w:lang w:val="lv-LV"/>
              </w:rPr>
              <w:t>retendent</w:t>
            </w:r>
            <w:r w:rsidR="009F3D1F" w:rsidRPr="00A02511">
              <w:rPr>
                <w:rFonts w:eastAsia="Times New Roman"/>
                <w:bCs/>
                <w:lang w:val="lv-LV"/>
              </w:rPr>
              <w:t>am piesaistot “Citu speciālistu”</w:t>
            </w:r>
            <w:r w:rsidR="00D157F1" w:rsidRPr="00A02511">
              <w:rPr>
                <w:rFonts w:eastAsia="Times New Roman"/>
                <w:bCs/>
                <w:lang w:val="lv-LV"/>
              </w:rPr>
              <w:t>, pēc analoģijas jāiesniedz tie paši dokumenti kā prasīts speciālistiem nolikuma 3.2.5.2. līdz 3.2.5.5.punktos, proti, jāiesniedz CV ar pievienotu atbilstoši attiecīgā speciālista specializācijas sfērai/jomai kvalifikāciju apliecinošu dokumentu (sertifikātu, izglītības dokumentu u.c.) un vismaz 1</w:t>
            </w:r>
            <w:r w:rsidR="00980808">
              <w:rPr>
                <w:rFonts w:eastAsia="Times New Roman"/>
                <w:bCs/>
                <w:lang w:val="lv-LV"/>
              </w:rPr>
              <w:t> </w:t>
            </w:r>
            <w:r w:rsidR="00D157F1" w:rsidRPr="00A02511">
              <w:rPr>
                <w:rFonts w:eastAsia="Times New Roman"/>
                <w:bCs/>
                <w:lang w:val="lv-LV"/>
              </w:rPr>
              <w:t>(viena)</w:t>
            </w:r>
            <w:r w:rsidR="00980808">
              <w:rPr>
                <w:rFonts w:eastAsia="Times New Roman"/>
                <w:bCs/>
                <w:lang w:val="lv-LV"/>
              </w:rPr>
              <w:t xml:space="preserve"> </w:t>
            </w:r>
            <w:r w:rsidR="00D157F1" w:rsidRPr="00A02511">
              <w:rPr>
                <w:rFonts w:eastAsia="Times New Roman"/>
                <w:bCs/>
                <w:lang w:val="lv-LV"/>
              </w:rPr>
              <w:t>pakalpojuma saņēmēja atsauksme, kas apliecina atbilstību norādītajai pieredzei.</w:t>
            </w:r>
          </w:p>
        </w:tc>
      </w:tr>
      <w:tr w:rsidR="00BE64B7" w:rsidRPr="00A02511" w14:paraId="2ECB7E10" w14:textId="77777777" w:rsidTr="00BE64B7">
        <w:tc>
          <w:tcPr>
            <w:tcW w:w="5964" w:type="dxa"/>
            <w:tcBorders>
              <w:bottom w:val="nil"/>
            </w:tcBorders>
          </w:tcPr>
          <w:p w14:paraId="0F0C5944" w14:textId="488F291D" w:rsidR="00BE64B7" w:rsidRPr="00A02511" w:rsidRDefault="00BE64B7" w:rsidP="002A48E8">
            <w:pPr>
              <w:pStyle w:val="Default"/>
              <w:jc w:val="both"/>
              <w:rPr>
                <w:b/>
                <w:bCs/>
                <w:lang w:val="lv-LV"/>
              </w:rPr>
            </w:pPr>
            <w:r w:rsidRPr="00A02511">
              <w:rPr>
                <w:b/>
                <w:bCs/>
                <w:lang w:val="lv-LV"/>
              </w:rPr>
              <w:t>6.jautājums</w:t>
            </w:r>
          </w:p>
        </w:tc>
        <w:tc>
          <w:tcPr>
            <w:tcW w:w="3817" w:type="dxa"/>
            <w:tcBorders>
              <w:bottom w:val="nil"/>
            </w:tcBorders>
          </w:tcPr>
          <w:p w14:paraId="67C940E5" w14:textId="1DA69FF2" w:rsidR="00BE64B7" w:rsidRPr="00A02511" w:rsidRDefault="00BE64B7" w:rsidP="005E0285">
            <w:pPr>
              <w:pStyle w:val="Default"/>
              <w:jc w:val="both"/>
              <w:rPr>
                <w:rFonts w:eastAsia="Times New Roman"/>
                <w:b/>
                <w:bCs/>
                <w:lang w:val="lv-LV"/>
              </w:rPr>
            </w:pPr>
            <w:r w:rsidRPr="00A02511">
              <w:rPr>
                <w:rFonts w:eastAsia="Times New Roman"/>
                <w:b/>
                <w:bCs/>
                <w:lang w:val="lv-LV"/>
              </w:rPr>
              <w:t>6.atbilde</w:t>
            </w:r>
          </w:p>
        </w:tc>
      </w:tr>
      <w:tr w:rsidR="00BE64B7" w:rsidRPr="00A02511" w14:paraId="09142643" w14:textId="77777777" w:rsidTr="00BE64B7">
        <w:tc>
          <w:tcPr>
            <w:tcW w:w="5964" w:type="dxa"/>
            <w:tcBorders>
              <w:top w:val="nil"/>
            </w:tcBorders>
          </w:tcPr>
          <w:p w14:paraId="3897874A" w14:textId="6F1B70FC" w:rsidR="00BE64B7" w:rsidRPr="00A02511" w:rsidRDefault="00BE64B7" w:rsidP="005E0285">
            <w:pPr>
              <w:pStyle w:val="Default"/>
              <w:ind w:firstLine="164"/>
              <w:jc w:val="both"/>
              <w:rPr>
                <w:lang w:val="lv-LV"/>
              </w:rPr>
            </w:pPr>
            <w:r w:rsidRPr="00A02511">
              <w:rPr>
                <w:lang w:val="lv-LV"/>
              </w:rPr>
              <w:t>Nolikuma Pielikumā Nr.2 “Darba uzdevums” punktā 6.4. “Darba stundu skaits un darba grafiks” un apakšpunktā 6.4.1. Kopējam plānotajam Inženiera cilvēkdienu stundu, skaitam ir jābūt ne mazākam par 1900   (viens tūkstotis deviņi simti) stundām:</w:t>
            </w:r>
          </w:p>
          <w:p w14:paraId="0ACA5A0D" w14:textId="69EC047F" w:rsidR="00BE64B7" w:rsidRPr="00A02511" w:rsidRDefault="005C42E0" w:rsidP="00BE64B7">
            <w:pPr>
              <w:pStyle w:val="Default"/>
              <w:jc w:val="both"/>
              <w:rPr>
                <w:lang w:val="lv-LV"/>
              </w:rPr>
            </w:pPr>
            <w:r w:rsidRPr="00A02511">
              <w:rPr>
                <w:lang w:val="lv-LV"/>
              </w:rPr>
              <w:object w:dxaOrig="4812" w:dyaOrig="2688" w14:anchorId="6E4BB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85pt;height:134.55pt" o:ole="">
                  <v:imagedata r:id="rId5" o:title=""/>
                </v:shape>
                <o:OLEObject Type="Embed" ProgID="PBrush" ShapeID="_x0000_i1025" DrawAspect="Content" ObjectID="_1664193310" r:id="rId6"/>
              </w:object>
            </w:r>
          </w:p>
          <w:p w14:paraId="7881584C" w14:textId="77777777" w:rsidR="00BE64B7" w:rsidRPr="00A02511" w:rsidRDefault="00BE64B7" w:rsidP="00BE64B7">
            <w:pPr>
              <w:ind w:left="176" w:hanging="142"/>
              <w:jc w:val="left"/>
              <w:rPr>
                <w:szCs w:val="24"/>
              </w:rPr>
            </w:pPr>
            <w:r w:rsidRPr="00A02511">
              <w:rPr>
                <w:szCs w:val="24"/>
              </w:rPr>
              <w:lastRenderedPageBreak/>
              <w:t>*Piedāvājumā optimālais stundu skaits katra speciālista slodzei var tikt koriģēts, bet ne vairāk kā 20%.</w:t>
            </w:r>
          </w:p>
          <w:p w14:paraId="152546C3" w14:textId="77777777" w:rsidR="00BE64B7" w:rsidRPr="00A02511" w:rsidRDefault="00BE64B7" w:rsidP="00BE64B7">
            <w:pPr>
              <w:spacing w:line="276" w:lineRule="auto"/>
              <w:rPr>
                <w:szCs w:val="24"/>
              </w:rPr>
            </w:pPr>
          </w:p>
          <w:p w14:paraId="22264E21" w14:textId="521850B9" w:rsidR="00BE64B7" w:rsidRPr="00A02511" w:rsidRDefault="00BE64B7" w:rsidP="00BE64B7">
            <w:pPr>
              <w:pStyle w:val="Default"/>
              <w:ind w:firstLine="164"/>
              <w:jc w:val="both"/>
              <w:rPr>
                <w:lang w:val="lv-LV"/>
              </w:rPr>
            </w:pPr>
            <w:r w:rsidRPr="00A02511">
              <w:rPr>
                <w:u w:val="single"/>
                <w:lang w:val="lv-LV"/>
              </w:rPr>
              <w:t>Darba stundu skaits un grafiks punktā 6.4.4. norādīts, ka Inženiera pārstāvim - Projekta vadītājam jābūt LDZ objektos vai sanāksmēs ar LDZ un Izpildītājiem ne mazāk kā 3 (trīs) darba dienas nedēļā.</w:t>
            </w:r>
          </w:p>
          <w:p w14:paraId="62556B55" w14:textId="02039604" w:rsidR="00BE64B7" w:rsidRPr="00A02511" w:rsidRDefault="00BE64B7" w:rsidP="005E0285">
            <w:pPr>
              <w:pStyle w:val="Default"/>
              <w:ind w:firstLine="164"/>
              <w:jc w:val="both"/>
              <w:rPr>
                <w:lang w:val="lv-LV"/>
              </w:rPr>
            </w:pPr>
          </w:p>
          <w:p w14:paraId="0D491939" w14:textId="77777777" w:rsidR="00BE64B7" w:rsidRPr="00A02511" w:rsidRDefault="00BE64B7" w:rsidP="005C42E0">
            <w:pPr>
              <w:spacing w:line="276" w:lineRule="auto"/>
              <w:ind w:firstLine="598"/>
              <w:rPr>
                <w:szCs w:val="24"/>
              </w:rPr>
            </w:pPr>
            <w:r w:rsidRPr="00A02511">
              <w:rPr>
                <w:szCs w:val="24"/>
              </w:rPr>
              <w:t>Norādītie minimālie speciālistu darbu apjomi ir pilnīgi neloģiski un neatbilstoši Jūsu norādīto pakalpojumu izpildei, jo jau Projekta vadītājam noteiktās 3 darba dienas nedēļā jeb 24 stundas nonāk pretrunā ar tabulā norādītajām 10 stundām, kas maldina visus Pretendentus par minimālo darbu apjomu. Arī pārējo speciālistu noteiktās darba stundas no 4 (puse dienas) līdz 8 (viena diena) nedēļas ietvaros nav iespējams apmeklēt visus būvobjektus Rīgā, nerunājot par tālākajām stacijām kā Ventspils, Liepāja, Rēzekne saskaņā ar Jūsu pievienoto objektu sarakstu.</w:t>
            </w:r>
          </w:p>
          <w:p w14:paraId="48596697" w14:textId="77777777" w:rsidR="00BE64B7" w:rsidRPr="00A02511" w:rsidRDefault="00BE64B7" w:rsidP="00BE64B7">
            <w:pPr>
              <w:spacing w:line="276" w:lineRule="auto"/>
              <w:rPr>
                <w:szCs w:val="24"/>
              </w:rPr>
            </w:pPr>
            <w:r w:rsidRPr="00A02511">
              <w:rPr>
                <w:szCs w:val="24"/>
              </w:rPr>
              <w:t xml:space="preserve">Lūdzu norādīt objektīvu minimālo stundu apmeklējumu skaitu nedēļas ietvaros, jo Jūsu noteiktās 1900 stundas jeb 237,5 dienas un arī speciālistu nedēļas noslodzes nav atbilstošas objektu skaitam un savstarpējiem attālumiem. </w:t>
            </w:r>
          </w:p>
          <w:p w14:paraId="4FB002BB" w14:textId="22AEB176" w:rsidR="00BE64B7" w:rsidRPr="00A02511" w:rsidRDefault="00BE64B7" w:rsidP="00BE64B7">
            <w:pPr>
              <w:spacing w:line="276" w:lineRule="auto"/>
              <w:rPr>
                <w:szCs w:val="24"/>
              </w:rPr>
            </w:pPr>
            <w:r w:rsidRPr="00A02511">
              <w:rPr>
                <w:szCs w:val="24"/>
              </w:rPr>
              <w:t>Lūdzu izstrādāt un izsniegt korektu informāciju par minimālo katra speciālista/u noslodzi, kas patiešām ļautu apmeklēt katru objektu vismaz vienu reizi nedēļā.</w:t>
            </w:r>
          </w:p>
        </w:tc>
        <w:tc>
          <w:tcPr>
            <w:tcW w:w="3817" w:type="dxa"/>
            <w:tcBorders>
              <w:top w:val="nil"/>
            </w:tcBorders>
          </w:tcPr>
          <w:p w14:paraId="2E658E63" w14:textId="397833ED" w:rsidR="009F3D1F" w:rsidRPr="00A02511" w:rsidRDefault="000E2C22" w:rsidP="00980808">
            <w:pPr>
              <w:pStyle w:val="Default"/>
              <w:ind w:firstLine="168"/>
              <w:jc w:val="both"/>
              <w:rPr>
                <w:rFonts w:eastAsia="Calibri"/>
                <w:lang w:val="lv-LV"/>
              </w:rPr>
            </w:pPr>
            <w:r w:rsidRPr="00A02511">
              <w:rPr>
                <w:rFonts w:eastAsia="Times New Roman"/>
                <w:bCs/>
                <w:lang w:val="lv-LV"/>
              </w:rPr>
              <w:lastRenderedPageBreak/>
              <w:t>Nolikuma prasība netiek grozīta. Pasūtītājs skaidro, ka pakalpojuma sniedzējs savu darbu organizē</w:t>
            </w:r>
            <w:r w:rsidR="000C7431" w:rsidRPr="00A02511">
              <w:rPr>
                <w:rFonts w:eastAsia="Times New Roman"/>
                <w:bCs/>
                <w:lang w:val="lv-LV"/>
              </w:rPr>
              <w:t xml:space="preserve"> </w:t>
            </w:r>
            <w:r w:rsidRPr="00A02511">
              <w:rPr>
                <w:rFonts w:eastAsia="Times New Roman"/>
                <w:bCs/>
                <w:lang w:val="lv-LV"/>
              </w:rPr>
              <w:t>tā, lai varētu izpildīt pasūtītāja prasības</w:t>
            </w:r>
            <w:r w:rsidR="000C7431" w:rsidRPr="00A02511">
              <w:rPr>
                <w:rFonts w:eastAsia="Times New Roman"/>
                <w:bCs/>
                <w:lang w:val="lv-LV"/>
              </w:rPr>
              <w:t xml:space="preserve"> minimālajā apjomā visā objektā</w:t>
            </w:r>
            <w:r w:rsidR="00D157F1" w:rsidRPr="00A02511">
              <w:rPr>
                <w:rFonts w:eastAsia="Times New Roman"/>
                <w:bCs/>
                <w:lang w:val="lv-LV"/>
              </w:rPr>
              <w:t>,</w:t>
            </w:r>
            <w:r w:rsidR="000C7431" w:rsidRPr="00A02511">
              <w:rPr>
                <w:rFonts w:eastAsia="Times New Roman"/>
                <w:bCs/>
                <w:lang w:val="lv-LV"/>
              </w:rPr>
              <w:t xml:space="preserve"> ierēķinot visus ar to saistītos izdevumus stundas izmaksā.</w:t>
            </w:r>
            <w:r w:rsidRPr="00A02511">
              <w:rPr>
                <w:rFonts w:eastAsia="Times New Roman"/>
                <w:bCs/>
                <w:lang w:val="lv-LV"/>
              </w:rPr>
              <w:t xml:space="preserve"> </w:t>
            </w:r>
          </w:p>
        </w:tc>
      </w:tr>
    </w:tbl>
    <w:p w14:paraId="0113B400" w14:textId="77777777" w:rsidR="00BE64B7" w:rsidRPr="00A02511" w:rsidRDefault="00BE64B7" w:rsidP="00BE64B7">
      <w:pPr>
        <w:spacing w:after="160" w:line="259" w:lineRule="auto"/>
        <w:rPr>
          <w:b/>
          <w:szCs w:val="24"/>
        </w:rPr>
      </w:pPr>
    </w:p>
    <w:p w14:paraId="75C43FEC" w14:textId="77777777" w:rsidR="0098236C" w:rsidRPr="00A02511" w:rsidRDefault="0098236C">
      <w:pPr>
        <w:rPr>
          <w:szCs w:val="24"/>
        </w:rPr>
      </w:pPr>
    </w:p>
    <w:sectPr w:rsidR="0098236C" w:rsidRPr="00A02511" w:rsidSect="002A48E8">
      <w:pgSz w:w="11906" w:h="16838"/>
      <w:pgMar w:top="1440" w:right="99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2A0A"/>
    <w:multiLevelType w:val="hybridMultilevel"/>
    <w:tmpl w:val="6D9A08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7B81D4A"/>
    <w:multiLevelType w:val="hybridMultilevel"/>
    <w:tmpl w:val="38C8D188"/>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5C"/>
    <w:rsid w:val="000A56CB"/>
    <w:rsid w:val="000C7431"/>
    <w:rsid w:val="000E2C22"/>
    <w:rsid w:val="001D38AF"/>
    <w:rsid w:val="002657B3"/>
    <w:rsid w:val="002716A7"/>
    <w:rsid w:val="002A48E8"/>
    <w:rsid w:val="002C469F"/>
    <w:rsid w:val="00303FA5"/>
    <w:rsid w:val="00312C3A"/>
    <w:rsid w:val="003204EA"/>
    <w:rsid w:val="0032194F"/>
    <w:rsid w:val="00325B02"/>
    <w:rsid w:val="00337384"/>
    <w:rsid w:val="00397F25"/>
    <w:rsid w:val="003B3AA1"/>
    <w:rsid w:val="003E3A4D"/>
    <w:rsid w:val="0050282F"/>
    <w:rsid w:val="00511A37"/>
    <w:rsid w:val="005275D6"/>
    <w:rsid w:val="005322AE"/>
    <w:rsid w:val="005C42E0"/>
    <w:rsid w:val="006F5CD7"/>
    <w:rsid w:val="00790021"/>
    <w:rsid w:val="007A1688"/>
    <w:rsid w:val="008471F1"/>
    <w:rsid w:val="00871481"/>
    <w:rsid w:val="008870B6"/>
    <w:rsid w:val="008943D2"/>
    <w:rsid w:val="0095643A"/>
    <w:rsid w:val="00980808"/>
    <w:rsid w:val="0098236C"/>
    <w:rsid w:val="009910A0"/>
    <w:rsid w:val="009B417F"/>
    <w:rsid w:val="009B5CC5"/>
    <w:rsid w:val="009B736D"/>
    <w:rsid w:val="009C4703"/>
    <w:rsid w:val="009F3D1F"/>
    <w:rsid w:val="00A02511"/>
    <w:rsid w:val="00A02C1C"/>
    <w:rsid w:val="00A358CA"/>
    <w:rsid w:val="00B74917"/>
    <w:rsid w:val="00BE37E5"/>
    <w:rsid w:val="00BE64B7"/>
    <w:rsid w:val="00C20434"/>
    <w:rsid w:val="00C67EA6"/>
    <w:rsid w:val="00D04955"/>
    <w:rsid w:val="00D12F98"/>
    <w:rsid w:val="00D157F1"/>
    <w:rsid w:val="00D5035C"/>
    <w:rsid w:val="00D570ED"/>
    <w:rsid w:val="00DF3991"/>
    <w:rsid w:val="00F01813"/>
    <w:rsid w:val="00F3019B"/>
    <w:rsid w:val="00F87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123A"/>
  <w15:chartTrackingRefBased/>
  <w15:docId w15:val="{DEE33C85-3251-420D-92A4-38CDF394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B7"/>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4B7"/>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BE6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E64B7"/>
    <w:pPr>
      <w:widowControl w:val="0"/>
      <w:tabs>
        <w:tab w:val="center" w:pos="4153"/>
        <w:tab w:val="right" w:pos="8306"/>
      </w:tabs>
      <w:autoSpaceDE w:val="0"/>
      <w:autoSpaceDN w:val="0"/>
      <w:adjustRightInd w:val="0"/>
      <w:jc w:val="left"/>
    </w:pPr>
    <w:rPr>
      <w:rFonts w:eastAsia="Times New Roman"/>
      <w:sz w:val="20"/>
      <w:szCs w:val="20"/>
      <w:lang w:eastAsia="lv-LV"/>
    </w:rPr>
  </w:style>
  <w:style w:type="character" w:customStyle="1" w:styleId="HeaderChar">
    <w:name w:val="Header Char"/>
    <w:basedOn w:val="DefaultParagraphFont"/>
    <w:link w:val="Header"/>
    <w:rsid w:val="00BE64B7"/>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D04955"/>
    <w:pPr>
      <w:ind w:left="720"/>
      <w:jc w:val="left"/>
    </w:pPr>
    <w:rPr>
      <w:rFonts w:ascii="Calibri" w:hAnsi="Calibri" w:cs="Calibri"/>
      <w:sz w:val="22"/>
      <w:lang w:eastAsia="lv-LV"/>
    </w:rPr>
  </w:style>
  <w:style w:type="paragraph" w:styleId="BalloonText">
    <w:name w:val="Balloon Text"/>
    <w:basedOn w:val="Normal"/>
    <w:link w:val="BalloonTextChar"/>
    <w:uiPriority w:val="99"/>
    <w:semiHidden/>
    <w:unhideWhenUsed/>
    <w:rsid w:val="00271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A7"/>
    <w:rPr>
      <w:rFonts w:ascii="Segoe UI" w:hAnsi="Segoe UI" w:cs="Segoe UI"/>
      <w:sz w:val="18"/>
      <w:szCs w:val="18"/>
    </w:rPr>
  </w:style>
  <w:style w:type="character" w:styleId="CommentReference">
    <w:name w:val="annotation reference"/>
    <w:basedOn w:val="DefaultParagraphFont"/>
    <w:uiPriority w:val="99"/>
    <w:semiHidden/>
    <w:unhideWhenUsed/>
    <w:rsid w:val="009F3D1F"/>
    <w:rPr>
      <w:sz w:val="16"/>
      <w:szCs w:val="16"/>
    </w:rPr>
  </w:style>
  <w:style w:type="paragraph" w:styleId="CommentText">
    <w:name w:val="annotation text"/>
    <w:basedOn w:val="Normal"/>
    <w:link w:val="CommentTextChar"/>
    <w:uiPriority w:val="99"/>
    <w:semiHidden/>
    <w:unhideWhenUsed/>
    <w:rsid w:val="009F3D1F"/>
    <w:rPr>
      <w:sz w:val="20"/>
      <w:szCs w:val="20"/>
    </w:rPr>
  </w:style>
  <w:style w:type="character" w:customStyle="1" w:styleId="CommentTextChar">
    <w:name w:val="Comment Text Char"/>
    <w:basedOn w:val="DefaultParagraphFont"/>
    <w:link w:val="CommentText"/>
    <w:uiPriority w:val="99"/>
    <w:semiHidden/>
    <w:rsid w:val="009F3D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3D1F"/>
    <w:rPr>
      <w:b/>
      <w:bCs/>
    </w:rPr>
  </w:style>
  <w:style w:type="character" w:customStyle="1" w:styleId="CommentSubjectChar">
    <w:name w:val="Comment Subject Char"/>
    <w:basedOn w:val="CommentTextChar"/>
    <w:link w:val="CommentSubject"/>
    <w:uiPriority w:val="99"/>
    <w:semiHidden/>
    <w:rsid w:val="009F3D1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170120">
      <w:bodyDiv w:val="1"/>
      <w:marLeft w:val="0"/>
      <w:marRight w:val="0"/>
      <w:marTop w:val="0"/>
      <w:marBottom w:val="0"/>
      <w:divBdr>
        <w:top w:val="none" w:sz="0" w:space="0" w:color="auto"/>
        <w:left w:val="none" w:sz="0" w:space="0" w:color="auto"/>
        <w:bottom w:val="none" w:sz="0" w:space="0" w:color="auto"/>
        <w:right w:val="none" w:sz="0" w:space="0" w:color="auto"/>
      </w:divBdr>
    </w:div>
    <w:div w:id="13543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4254</Words>
  <Characters>2426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9</cp:revision>
  <cp:lastPrinted>2020-10-14T05:55:00Z</cp:lastPrinted>
  <dcterms:created xsi:type="dcterms:W3CDTF">2020-10-14T07:56:00Z</dcterms:created>
  <dcterms:modified xsi:type="dcterms:W3CDTF">2020-10-14T12:09:00Z</dcterms:modified>
</cp:coreProperties>
</file>