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41A3" w14:textId="77777777" w:rsidR="0022732F" w:rsidRPr="00785369" w:rsidRDefault="0022732F" w:rsidP="0022732F">
      <w:pPr>
        <w:pStyle w:val="Default"/>
        <w:jc w:val="right"/>
        <w:rPr>
          <w:rFonts w:ascii="Arial" w:hAnsi="Arial" w:cs="Arial"/>
          <w:i/>
          <w:iCs/>
          <w:sz w:val="22"/>
          <w:szCs w:val="22"/>
        </w:rPr>
      </w:pPr>
      <w:bookmarkStart w:id="0" w:name="_Hlk128566473"/>
      <w:r w:rsidRPr="00785369">
        <w:rPr>
          <w:rFonts w:ascii="Arial" w:hAnsi="Arial" w:cs="Arial"/>
          <w:i/>
          <w:iCs/>
          <w:sz w:val="22"/>
          <w:szCs w:val="22"/>
        </w:rPr>
        <w:t>APSTIPRINĀTS</w:t>
      </w:r>
    </w:p>
    <w:p w14:paraId="3B3BCE7A" w14:textId="77777777" w:rsidR="0022732F" w:rsidRPr="00785369" w:rsidRDefault="0022732F" w:rsidP="0022732F">
      <w:pPr>
        <w:pStyle w:val="Default"/>
        <w:jc w:val="right"/>
        <w:rPr>
          <w:rFonts w:ascii="Arial" w:hAnsi="Arial" w:cs="Arial"/>
          <w:i/>
          <w:iCs/>
          <w:sz w:val="22"/>
          <w:szCs w:val="22"/>
        </w:rPr>
      </w:pPr>
      <w:r w:rsidRPr="00785369">
        <w:rPr>
          <w:rFonts w:ascii="Arial" w:hAnsi="Arial" w:cs="Arial"/>
          <w:i/>
          <w:iCs/>
          <w:sz w:val="22"/>
          <w:szCs w:val="22"/>
        </w:rPr>
        <w:t>ar VAS “Latvijas dzelzceļš” iepirkuma komisijas</w:t>
      </w:r>
    </w:p>
    <w:p w14:paraId="006CE402" w14:textId="67708F4E" w:rsidR="0022732F" w:rsidRPr="00785369" w:rsidRDefault="0022732F" w:rsidP="0022732F">
      <w:pPr>
        <w:pStyle w:val="Default"/>
        <w:jc w:val="right"/>
        <w:rPr>
          <w:rFonts w:ascii="Arial" w:hAnsi="Arial" w:cs="Arial"/>
          <w:i/>
          <w:iCs/>
          <w:sz w:val="22"/>
          <w:szCs w:val="22"/>
        </w:rPr>
      </w:pPr>
      <w:r w:rsidRPr="00785369">
        <w:rPr>
          <w:rFonts w:ascii="Arial" w:hAnsi="Arial" w:cs="Arial"/>
          <w:i/>
          <w:iCs/>
          <w:sz w:val="22"/>
          <w:szCs w:val="22"/>
        </w:rPr>
        <w:t xml:space="preserve">2023.gada </w:t>
      </w:r>
      <w:r w:rsidR="00B82F16">
        <w:rPr>
          <w:rFonts w:ascii="Arial" w:hAnsi="Arial" w:cs="Arial"/>
          <w:i/>
          <w:iCs/>
          <w:sz w:val="22"/>
          <w:szCs w:val="22"/>
        </w:rPr>
        <w:t>2.maija</w:t>
      </w:r>
      <w:r w:rsidRPr="00785369">
        <w:rPr>
          <w:rFonts w:ascii="Arial" w:hAnsi="Arial" w:cs="Arial"/>
          <w:i/>
          <w:iCs/>
          <w:sz w:val="22"/>
          <w:szCs w:val="22"/>
        </w:rPr>
        <w:t xml:space="preserve"> </w:t>
      </w:r>
      <w:r w:rsidR="00B61852" w:rsidRPr="00785369">
        <w:rPr>
          <w:rFonts w:ascii="Arial" w:hAnsi="Arial" w:cs="Arial"/>
          <w:i/>
          <w:iCs/>
          <w:sz w:val="22"/>
          <w:szCs w:val="22"/>
        </w:rPr>
        <w:t>7</w:t>
      </w:r>
      <w:r w:rsidRPr="00785369">
        <w:rPr>
          <w:rFonts w:ascii="Arial" w:hAnsi="Arial" w:cs="Arial"/>
          <w:i/>
          <w:iCs/>
          <w:sz w:val="22"/>
          <w:szCs w:val="22"/>
        </w:rPr>
        <w:t>.sēdes protokolu</w:t>
      </w:r>
    </w:p>
    <w:p w14:paraId="6C73D15A" w14:textId="77777777" w:rsidR="0022732F" w:rsidRPr="00785369" w:rsidRDefault="0022732F" w:rsidP="0022732F">
      <w:pPr>
        <w:jc w:val="center"/>
        <w:rPr>
          <w:rFonts w:ascii="Arial" w:hAnsi="Arial" w:cs="Arial"/>
          <w:sz w:val="22"/>
          <w:szCs w:val="22"/>
          <w:lang w:val="lv-LV"/>
        </w:rPr>
      </w:pPr>
    </w:p>
    <w:p w14:paraId="3233657B" w14:textId="77777777" w:rsidR="0022732F" w:rsidRPr="00785369" w:rsidRDefault="0022732F" w:rsidP="0022732F">
      <w:pPr>
        <w:jc w:val="center"/>
        <w:rPr>
          <w:rFonts w:ascii="Arial" w:hAnsi="Arial" w:cs="Arial"/>
          <w:b/>
          <w:sz w:val="22"/>
          <w:szCs w:val="22"/>
          <w:lang w:val="lv-LV"/>
        </w:rPr>
      </w:pPr>
      <w:r w:rsidRPr="00785369">
        <w:rPr>
          <w:rFonts w:ascii="Arial" w:hAnsi="Arial" w:cs="Arial"/>
          <w:b/>
          <w:sz w:val="22"/>
          <w:szCs w:val="22"/>
          <w:lang w:val="lv-LV"/>
        </w:rPr>
        <w:t>VAS “Latvijas dzelzceļš”</w:t>
      </w:r>
    </w:p>
    <w:p w14:paraId="78C8E164" w14:textId="77777777" w:rsidR="0022732F" w:rsidRPr="00785369" w:rsidRDefault="0022732F" w:rsidP="0022732F">
      <w:pPr>
        <w:jc w:val="center"/>
        <w:rPr>
          <w:rFonts w:ascii="Arial" w:hAnsi="Arial" w:cs="Arial"/>
          <w:b/>
          <w:sz w:val="22"/>
          <w:szCs w:val="22"/>
          <w:lang w:val="lv-LV"/>
        </w:rPr>
      </w:pPr>
      <w:r w:rsidRPr="00785369">
        <w:rPr>
          <w:rFonts w:ascii="Arial" w:hAnsi="Arial" w:cs="Arial"/>
          <w:b/>
          <w:sz w:val="22"/>
          <w:szCs w:val="22"/>
          <w:lang w:val="lv-LV"/>
        </w:rPr>
        <w:t>sarunu procedūrā ar publikāciju</w:t>
      </w:r>
    </w:p>
    <w:p w14:paraId="4D7BC4FE" w14:textId="77777777" w:rsidR="0022732F" w:rsidRPr="00785369" w:rsidRDefault="0022732F" w:rsidP="0022732F">
      <w:pPr>
        <w:jc w:val="center"/>
        <w:rPr>
          <w:rFonts w:ascii="Arial" w:eastAsia="MS Gothic" w:hAnsi="Arial" w:cs="Arial"/>
          <w:sz w:val="22"/>
          <w:szCs w:val="22"/>
          <w:lang w:val="lv-LV"/>
        </w:rPr>
      </w:pPr>
      <w:r w:rsidRPr="00785369">
        <w:rPr>
          <w:rFonts w:ascii="Arial" w:hAnsi="Arial" w:cs="Arial"/>
          <w:b/>
          <w:sz w:val="22"/>
          <w:szCs w:val="22"/>
          <w:lang w:val="lv-LV"/>
        </w:rPr>
        <w:t>“</w:t>
      </w:r>
      <w:r w:rsidRPr="00785369">
        <w:rPr>
          <w:rFonts w:ascii="Arial" w:eastAsia="MS Gothic" w:hAnsi="Arial" w:cs="Arial"/>
          <w:b/>
          <w:bCs/>
          <w:sz w:val="22"/>
          <w:szCs w:val="22"/>
          <w:lang w:val="lv-LV"/>
        </w:rPr>
        <w:t>Tālvadības sistēmas ieviešana vilces apakšstacijā “Priedaine””</w:t>
      </w:r>
    </w:p>
    <w:p w14:paraId="2041344B" w14:textId="77777777" w:rsidR="0022732F" w:rsidRPr="00785369" w:rsidRDefault="0022732F" w:rsidP="0022732F">
      <w:pPr>
        <w:jc w:val="center"/>
        <w:rPr>
          <w:rFonts w:ascii="Arial" w:hAnsi="Arial" w:cs="Arial"/>
          <w:b/>
          <w:bCs/>
          <w:sz w:val="22"/>
          <w:szCs w:val="22"/>
          <w:lang w:val="lv-LV"/>
        </w:rPr>
      </w:pPr>
      <w:r w:rsidRPr="00785369">
        <w:rPr>
          <w:rFonts w:ascii="Arial" w:eastAsia="MS Gothic" w:hAnsi="Arial" w:cs="Arial"/>
          <w:sz w:val="22"/>
          <w:szCs w:val="22"/>
          <w:lang w:val="lv-LV"/>
        </w:rPr>
        <w:t>(iepirkuma identifikācijas nr. LDZ 2023/39-SPAV)</w:t>
      </w:r>
    </w:p>
    <w:p w14:paraId="007FE9EE" w14:textId="77777777" w:rsidR="0022732F" w:rsidRPr="00785369" w:rsidRDefault="0022732F" w:rsidP="0022732F">
      <w:pPr>
        <w:jc w:val="center"/>
        <w:rPr>
          <w:rFonts w:ascii="Arial" w:hAnsi="Arial" w:cs="Arial"/>
          <w:sz w:val="22"/>
          <w:szCs w:val="22"/>
          <w:lang w:val="lv-LV"/>
        </w:rPr>
      </w:pPr>
      <w:r w:rsidRPr="00785369">
        <w:rPr>
          <w:rFonts w:ascii="Arial" w:hAnsi="Arial" w:cs="Arial"/>
          <w:sz w:val="22"/>
          <w:szCs w:val="22"/>
          <w:lang w:val="lv-LV"/>
        </w:rPr>
        <w:t>(turpmāk – iepirkums)</w:t>
      </w:r>
    </w:p>
    <w:p w14:paraId="463E0A48" w14:textId="77777777" w:rsidR="0022732F" w:rsidRPr="00785369" w:rsidRDefault="0022732F" w:rsidP="0022732F">
      <w:pPr>
        <w:jc w:val="center"/>
        <w:rPr>
          <w:rFonts w:ascii="Arial" w:hAnsi="Arial" w:cs="Arial"/>
          <w:sz w:val="22"/>
          <w:szCs w:val="22"/>
          <w:lang w:val="lv-LV"/>
        </w:rPr>
      </w:pPr>
    </w:p>
    <w:p w14:paraId="551D3630" w14:textId="77777777" w:rsidR="0022732F" w:rsidRPr="00785369" w:rsidRDefault="0022732F" w:rsidP="0022732F">
      <w:pPr>
        <w:pStyle w:val="Default"/>
        <w:jc w:val="center"/>
        <w:rPr>
          <w:rFonts w:ascii="Arial" w:hAnsi="Arial" w:cs="Arial"/>
          <w:b/>
          <w:smallCaps/>
          <w:sz w:val="22"/>
          <w:szCs w:val="22"/>
        </w:rPr>
      </w:pPr>
      <w:r w:rsidRPr="00785369">
        <w:rPr>
          <w:rFonts w:ascii="Arial" w:hAnsi="Arial" w:cs="Arial"/>
          <w:b/>
          <w:smallCaps/>
          <w:sz w:val="22"/>
          <w:szCs w:val="22"/>
        </w:rPr>
        <w:t>Skaidrojums Nr.1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22732F" w:rsidRPr="00785369" w14:paraId="33CB0012" w14:textId="77777777" w:rsidTr="0057187F">
        <w:tc>
          <w:tcPr>
            <w:tcW w:w="4815" w:type="dxa"/>
            <w:shd w:val="clear" w:color="auto" w:fill="auto"/>
          </w:tcPr>
          <w:p w14:paraId="5CB4A00F" w14:textId="77777777" w:rsidR="0022732F" w:rsidRPr="00785369" w:rsidRDefault="0022732F" w:rsidP="0057187F">
            <w:pPr>
              <w:pStyle w:val="Default"/>
              <w:jc w:val="center"/>
              <w:rPr>
                <w:rFonts w:ascii="Arial" w:hAnsi="Arial" w:cs="Arial"/>
                <w:b/>
                <w:sz w:val="22"/>
                <w:szCs w:val="22"/>
              </w:rPr>
            </w:pPr>
            <w:r w:rsidRPr="00785369">
              <w:rPr>
                <w:rFonts w:ascii="Arial" w:hAnsi="Arial" w:cs="Arial"/>
                <w:b/>
                <w:sz w:val="22"/>
                <w:szCs w:val="22"/>
              </w:rPr>
              <w:t>Jautājums</w:t>
            </w:r>
          </w:p>
        </w:tc>
        <w:tc>
          <w:tcPr>
            <w:tcW w:w="4678" w:type="dxa"/>
            <w:shd w:val="clear" w:color="auto" w:fill="auto"/>
          </w:tcPr>
          <w:p w14:paraId="186D4A60" w14:textId="77777777" w:rsidR="0022732F" w:rsidRPr="00785369" w:rsidRDefault="0022732F" w:rsidP="0057187F">
            <w:pPr>
              <w:pStyle w:val="Default"/>
              <w:jc w:val="center"/>
              <w:rPr>
                <w:rFonts w:ascii="Arial" w:hAnsi="Arial" w:cs="Arial"/>
                <w:b/>
                <w:sz w:val="22"/>
                <w:szCs w:val="22"/>
              </w:rPr>
            </w:pPr>
            <w:r w:rsidRPr="00785369">
              <w:rPr>
                <w:rFonts w:ascii="Arial" w:hAnsi="Arial" w:cs="Arial"/>
                <w:b/>
                <w:sz w:val="22"/>
                <w:szCs w:val="22"/>
              </w:rPr>
              <w:t>Atbilde</w:t>
            </w:r>
          </w:p>
        </w:tc>
      </w:tr>
      <w:tr w:rsidR="0022732F" w:rsidRPr="00785369" w14:paraId="290CAA3F" w14:textId="77777777" w:rsidTr="0057187F">
        <w:tc>
          <w:tcPr>
            <w:tcW w:w="4815" w:type="dxa"/>
            <w:shd w:val="clear" w:color="auto" w:fill="auto"/>
          </w:tcPr>
          <w:p w14:paraId="0DCE790D" w14:textId="69C0E7B0" w:rsidR="0022732F" w:rsidRPr="00785369" w:rsidRDefault="00B61852" w:rsidP="0057187F">
            <w:pPr>
              <w:autoSpaceDE w:val="0"/>
              <w:autoSpaceDN w:val="0"/>
              <w:adjustRightInd w:val="0"/>
              <w:jc w:val="center"/>
              <w:rPr>
                <w:rFonts w:ascii="Arial" w:eastAsia="Calibri" w:hAnsi="Arial" w:cs="Arial"/>
                <w:color w:val="000000"/>
                <w:sz w:val="22"/>
                <w:szCs w:val="22"/>
                <w:lang w:val="lv-LV"/>
              </w:rPr>
            </w:pPr>
            <w:r w:rsidRPr="00785369">
              <w:rPr>
                <w:rFonts w:ascii="Arial" w:eastAsia="Calibri" w:hAnsi="Arial" w:cs="Arial"/>
                <w:color w:val="000000"/>
                <w:sz w:val="22"/>
                <w:szCs w:val="22"/>
                <w:lang w:val="lv-LV"/>
              </w:rPr>
              <w:t>27</w:t>
            </w:r>
            <w:r w:rsidR="0022732F" w:rsidRPr="00785369">
              <w:rPr>
                <w:rFonts w:ascii="Arial" w:eastAsia="Calibri" w:hAnsi="Arial" w:cs="Arial"/>
                <w:color w:val="000000"/>
                <w:sz w:val="22"/>
                <w:szCs w:val="22"/>
                <w:lang w:val="lv-LV"/>
              </w:rPr>
              <w:t>.0</w:t>
            </w:r>
            <w:r w:rsidRPr="00785369">
              <w:rPr>
                <w:rFonts w:ascii="Arial" w:eastAsia="Calibri" w:hAnsi="Arial" w:cs="Arial"/>
                <w:color w:val="000000"/>
                <w:sz w:val="22"/>
                <w:szCs w:val="22"/>
                <w:lang w:val="lv-LV"/>
              </w:rPr>
              <w:t>4</w:t>
            </w:r>
            <w:r w:rsidR="0022732F" w:rsidRPr="00785369">
              <w:rPr>
                <w:rFonts w:ascii="Arial" w:eastAsia="Calibri" w:hAnsi="Arial" w:cs="Arial"/>
                <w:color w:val="000000"/>
                <w:sz w:val="22"/>
                <w:szCs w:val="22"/>
                <w:lang w:val="lv-LV"/>
              </w:rPr>
              <w:t>.2023.</w:t>
            </w:r>
          </w:p>
        </w:tc>
        <w:tc>
          <w:tcPr>
            <w:tcW w:w="4678" w:type="dxa"/>
            <w:shd w:val="clear" w:color="auto" w:fill="auto"/>
          </w:tcPr>
          <w:p w14:paraId="45069847" w14:textId="1AAEEA8A" w:rsidR="0022732F" w:rsidRPr="00785369" w:rsidRDefault="00B82F16" w:rsidP="0057187F">
            <w:pPr>
              <w:ind w:firstLine="175"/>
              <w:jc w:val="center"/>
              <w:rPr>
                <w:rFonts w:ascii="Arial" w:eastAsia="Calibri" w:hAnsi="Arial" w:cs="Arial"/>
                <w:bCs/>
                <w:sz w:val="22"/>
                <w:szCs w:val="22"/>
                <w:lang w:val="lv-LV"/>
              </w:rPr>
            </w:pPr>
            <w:r>
              <w:rPr>
                <w:rFonts w:ascii="Arial" w:eastAsia="Calibri" w:hAnsi="Arial" w:cs="Arial"/>
                <w:bCs/>
                <w:sz w:val="22"/>
                <w:szCs w:val="22"/>
                <w:lang w:val="lv-LV"/>
              </w:rPr>
              <w:t>02.05.2023.</w:t>
            </w:r>
          </w:p>
        </w:tc>
      </w:tr>
      <w:tr w:rsidR="00B61852" w:rsidRPr="00785369" w14:paraId="24A84999" w14:textId="77777777" w:rsidTr="0057187F">
        <w:tc>
          <w:tcPr>
            <w:tcW w:w="4815" w:type="dxa"/>
            <w:shd w:val="clear" w:color="auto" w:fill="auto"/>
          </w:tcPr>
          <w:p w14:paraId="152E988A" w14:textId="77777777" w:rsidR="00B61852" w:rsidRPr="00785369" w:rsidRDefault="00B61852" w:rsidP="00B61852">
            <w:pPr>
              <w:rPr>
                <w:rFonts w:ascii="Arial" w:hAnsi="Arial" w:cs="Arial"/>
                <w:lang w:val="lv-LV"/>
              </w:rPr>
            </w:pPr>
            <w:r w:rsidRPr="00785369">
              <w:rPr>
                <w:rFonts w:ascii="Arial" w:hAnsi="Arial" w:cs="Arial"/>
                <w:lang w:val="lv-LV"/>
              </w:rPr>
              <w:t>Iepazīstoties ar minēto nolikumu radās neskaidrības attiecībā par Tehniskā uzdevuma punktiem 2.5.4., 2.5.5., 2.5.12., un 2.5.15.</w:t>
            </w:r>
          </w:p>
          <w:p w14:paraId="74E713DF" w14:textId="77777777" w:rsidR="00B61852" w:rsidRPr="00785369" w:rsidRDefault="00B61852" w:rsidP="00B61852">
            <w:pPr>
              <w:rPr>
                <w:rFonts w:ascii="Arial" w:hAnsi="Arial" w:cs="Arial"/>
                <w:lang w:val="lv-LV"/>
              </w:rPr>
            </w:pPr>
            <w:r w:rsidRPr="00785369">
              <w:rPr>
                <w:rFonts w:ascii="Arial" w:hAnsi="Arial" w:cs="Arial"/>
                <w:lang w:val="lv-LV"/>
              </w:rPr>
              <w:t xml:space="preserve">Lūdzu informāciju par 2.5.4., 2.5.5., 2.5.12. punktos minēto nomaināmo iekārtu nominālajiem tehniskajiem parametriem (Nominālā strāva, noturība pret īsslēgumu), par 2.5.15. punktā minēto iekārtu, lūdzu norādīt iespējamo iekārtas tipu, jo parasti šāda veida iekārtas ir iebūvētas sekundāro modulāro vai primāro </w:t>
            </w:r>
            <w:proofErr w:type="spellStart"/>
            <w:r w:rsidRPr="00785369">
              <w:rPr>
                <w:rFonts w:ascii="Arial" w:hAnsi="Arial" w:cs="Arial"/>
                <w:lang w:val="lv-LV"/>
              </w:rPr>
              <w:t>slēgiekārtu</w:t>
            </w:r>
            <w:proofErr w:type="spellEnd"/>
            <w:r w:rsidRPr="00785369">
              <w:rPr>
                <w:rFonts w:ascii="Arial" w:hAnsi="Arial" w:cs="Arial"/>
                <w:lang w:val="lv-LV"/>
              </w:rPr>
              <w:t xml:space="preserve"> </w:t>
            </w:r>
            <w:proofErr w:type="spellStart"/>
            <w:r w:rsidRPr="00785369">
              <w:rPr>
                <w:rFonts w:ascii="Arial" w:hAnsi="Arial" w:cs="Arial"/>
                <w:lang w:val="lv-LV"/>
              </w:rPr>
              <w:t>caurvadizolatoros</w:t>
            </w:r>
            <w:proofErr w:type="spellEnd"/>
            <w:r w:rsidRPr="00785369">
              <w:rPr>
                <w:rFonts w:ascii="Arial" w:hAnsi="Arial" w:cs="Arial"/>
                <w:lang w:val="lv-LV"/>
              </w:rPr>
              <w:t>.</w:t>
            </w:r>
          </w:p>
          <w:p w14:paraId="49D888B2" w14:textId="77777777" w:rsidR="00B61852" w:rsidRPr="00785369" w:rsidRDefault="00B61852" w:rsidP="0057187F">
            <w:pPr>
              <w:autoSpaceDE w:val="0"/>
              <w:autoSpaceDN w:val="0"/>
              <w:adjustRightInd w:val="0"/>
              <w:jc w:val="center"/>
              <w:rPr>
                <w:rFonts w:ascii="Arial" w:eastAsia="Calibri" w:hAnsi="Arial" w:cs="Arial"/>
                <w:color w:val="000000"/>
                <w:sz w:val="22"/>
                <w:szCs w:val="22"/>
                <w:lang w:val="lv-LV"/>
              </w:rPr>
            </w:pPr>
          </w:p>
        </w:tc>
        <w:tc>
          <w:tcPr>
            <w:tcW w:w="4678" w:type="dxa"/>
            <w:shd w:val="clear" w:color="auto" w:fill="auto"/>
          </w:tcPr>
          <w:p w14:paraId="3776314B" w14:textId="6488AE5B" w:rsidR="00B61852" w:rsidRPr="00B82F16" w:rsidRDefault="004171AA" w:rsidP="00B82F16">
            <w:pPr>
              <w:ind w:firstLine="175"/>
              <w:jc w:val="both"/>
              <w:rPr>
                <w:rFonts w:ascii="Arial" w:eastAsia="Calibri" w:hAnsi="Arial" w:cs="Arial"/>
                <w:bCs/>
                <w:lang w:val="lv-LV"/>
              </w:rPr>
            </w:pPr>
            <w:r w:rsidRPr="00B82F16">
              <w:rPr>
                <w:rFonts w:ascii="Arial" w:eastAsia="Calibri" w:hAnsi="Arial" w:cs="Arial"/>
                <w:bCs/>
                <w:lang w:val="lv-LV"/>
              </w:rPr>
              <w:t xml:space="preserve">2.5.4. – </w:t>
            </w:r>
            <w:r w:rsidR="004C41D0" w:rsidRPr="00B82F16">
              <w:rPr>
                <w:rFonts w:ascii="Arial" w:eastAsia="Calibri" w:hAnsi="Arial" w:cs="Arial"/>
                <w:bCs/>
                <w:lang w:val="lv-LV"/>
              </w:rPr>
              <w:t>Nomināla strāva ≥4000A, noturība pret īsslēgumu ≥40kA;</w:t>
            </w:r>
          </w:p>
          <w:p w14:paraId="65277C66" w14:textId="37AC71F0" w:rsidR="004171AA" w:rsidRPr="00B82F16" w:rsidRDefault="004171AA" w:rsidP="00B82F16">
            <w:pPr>
              <w:ind w:firstLine="175"/>
              <w:jc w:val="both"/>
              <w:rPr>
                <w:rFonts w:ascii="Arial" w:eastAsia="Calibri" w:hAnsi="Arial" w:cs="Arial"/>
                <w:bCs/>
                <w:lang w:val="lv-LV"/>
              </w:rPr>
            </w:pPr>
            <w:r w:rsidRPr="00B82F16">
              <w:rPr>
                <w:rFonts w:ascii="Arial" w:eastAsia="Calibri" w:hAnsi="Arial" w:cs="Arial"/>
                <w:bCs/>
                <w:lang w:val="lv-LV"/>
              </w:rPr>
              <w:t xml:space="preserve">2.5.5. – </w:t>
            </w:r>
            <w:r w:rsidR="004C41D0" w:rsidRPr="00B82F16">
              <w:rPr>
                <w:rFonts w:ascii="Arial" w:eastAsia="Calibri" w:hAnsi="Arial" w:cs="Arial"/>
                <w:bCs/>
                <w:lang w:val="lv-LV"/>
              </w:rPr>
              <w:t>Nomināla strāva ≥4000A, noturība pret īsslēgumu ≥40kA;</w:t>
            </w:r>
          </w:p>
          <w:p w14:paraId="41816E32" w14:textId="18F126F9" w:rsidR="004171AA" w:rsidRPr="00B82F16" w:rsidRDefault="004171AA" w:rsidP="00B82F16">
            <w:pPr>
              <w:ind w:firstLine="175"/>
              <w:jc w:val="both"/>
              <w:rPr>
                <w:rFonts w:ascii="Arial" w:eastAsia="Calibri" w:hAnsi="Arial" w:cs="Arial"/>
                <w:bCs/>
                <w:lang w:val="lv-LV"/>
              </w:rPr>
            </w:pPr>
            <w:r w:rsidRPr="00B82F16">
              <w:rPr>
                <w:rFonts w:ascii="Arial" w:eastAsia="Calibri" w:hAnsi="Arial" w:cs="Arial"/>
                <w:bCs/>
                <w:lang w:val="lv-LV"/>
              </w:rPr>
              <w:t xml:space="preserve">2.5.12. – </w:t>
            </w:r>
            <w:r w:rsidR="004C41D0" w:rsidRPr="00B82F16">
              <w:rPr>
                <w:rFonts w:ascii="Arial" w:eastAsia="Calibri" w:hAnsi="Arial" w:cs="Arial"/>
                <w:bCs/>
                <w:lang w:val="lv-LV"/>
              </w:rPr>
              <w:t>Nomināla strāva ≥1000A, noturība pret īsslēgumu ≥</w:t>
            </w:r>
            <w:r w:rsidR="00A52F2C" w:rsidRPr="00B82F16">
              <w:rPr>
                <w:rFonts w:ascii="Arial" w:eastAsia="Calibri" w:hAnsi="Arial" w:cs="Arial"/>
                <w:bCs/>
                <w:lang w:val="lv-LV"/>
              </w:rPr>
              <w:t>2</w:t>
            </w:r>
            <w:r w:rsidR="004C41D0" w:rsidRPr="00B82F16">
              <w:rPr>
                <w:rFonts w:ascii="Arial" w:eastAsia="Calibri" w:hAnsi="Arial" w:cs="Arial"/>
                <w:bCs/>
                <w:lang w:val="lv-LV"/>
              </w:rPr>
              <w:t>0kA;</w:t>
            </w:r>
          </w:p>
          <w:p w14:paraId="1300E6F0" w14:textId="4E27048F" w:rsidR="004171AA" w:rsidRPr="00785369" w:rsidRDefault="00A52F2C" w:rsidP="00B82F16">
            <w:pPr>
              <w:ind w:firstLine="175"/>
              <w:jc w:val="both"/>
              <w:rPr>
                <w:rFonts w:ascii="Arial" w:eastAsia="Calibri" w:hAnsi="Arial" w:cs="Arial"/>
                <w:bCs/>
                <w:sz w:val="22"/>
                <w:szCs w:val="22"/>
                <w:lang w:val="lv-LV"/>
              </w:rPr>
            </w:pPr>
            <w:r w:rsidRPr="00B82F16">
              <w:rPr>
                <w:rFonts w:ascii="Arial" w:eastAsia="Calibri" w:hAnsi="Arial" w:cs="Arial"/>
                <w:bCs/>
                <w:lang w:val="lv-LV"/>
              </w:rPr>
              <w:t>2</w:t>
            </w:r>
            <w:r w:rsidR="004171AA" w:rsidRPr="00B82F16">
              <w:rPr>
                <w:rFonts w:ascii="Arial" w:eastAsia="Calibri" w:hAnsi="Arial" w:cs="Arial"/>
                <w:bCs/>
                <w:lang w:val="lv-LV"/>
              </w:rPr>
              <w:t xml:space="preserve">.5.15. – </w:t>
            </w:r>
            <w:r w:rsidR="009A492F" w:rsidRPr="00B82F16">
              <w:rPr>
                <w:rFonts w:ascii="Arial" w:eastAsia="Calibri" w:hAnsi="Arial" w:cs="Arial"/>
                <w:bCs/>
                <w:lang w:val="lv-LV"/>
              </w:rPr>
              <w:t>piemēram KPB Intra VSO-25</w:t>
            </w:r>
            <w:r w:rsidR="00785369" w:rsidRPr="00B82F16">
              <w:rPr>
                <w:rFonts w:ascii="Arial" w:eastAsia="Calibri" w:hAnsi="Arial" w:cs="Arial"/>
                <w:bCs/>
                <w:lang w:val="lv-LV"/>
              </w:rPr>
              <w:t xml:space="preserve"> </w:t>
            </w:r>
            <w:r w:rsidR="00381814" w:rsidRPr="00B82F16">
              <w:rPr>
                <w:rFonts w:ascii="Arial" w:eastAsia="Calibri" w:hAnsi="Arial" w:cs="Arial"/>
                <w:bCs/>
                <w:lang w:val="lv-LV"/>
              </w:rPr>
              <w:t>(vai analogs)</w:t>
            </w:r>
            <w:r w:rsidR="009A492F" w:rsidRPr="00B82F16">
              <w:rPr>
                <w:rFonts w:ascii="Arial" w:eastAsia="Calibri" w:hAnsi="Arial" w:cs="Arial"/>
                <w:bCs/>
                <w:lang w:val="lv-LV"/>
              </w:rPr>
              <w:t>.</w:t>
            </w:r>
          </w:p>
        </w:tc>
      </w:tr>
      <w:bookmarkEnd w:id="0"/>
    </w:tbl>
    <w:p w14:paraId="0E802D7D" w14:textId="6B317AC7" w:rsidR="0098236C" w:rsidRPr="00785369" w:rsidRDefault="0098236C" w:rsidP="0022732F">
      <w:pPr>
        <w:jc w:val="both"/>
        <w:rPr>
          <w:rFonts w:ascii="Arial" w:hAnsi="Arial" w:cs="Arial"/>
          <w:caps/>
          <w:sz w:val="22"/>
          <w:szCs w:val="22"/>
          <w:lang w:val="lv-LV"/>
        </w:rPr>
      </w:pPr>
    </w:p>
    <w:sectPr w:rsidR="0098236C" w:rsidRPr="00785369" w:rsidSect="0022732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280"/>
    <w:multiLevelType w:val="hybridMultilevel"/>
    <w:tmpl w:val="710654C8"/>
    <w:lvl w:ilvl="0" w:tplc="8A6010D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874430E"/>
    <w:multiLevelType w:val="multilevel"/>
    <w:tmpl w:val="7742A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867CB"/>
    <w:multiLevelType w:val="multilevel"/>
    <w:tmpl w:val="2F24DE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6356DF"/>
    <w:multiLevelType w:val="multilevel"/>
    <w:tmpl w:val="D500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C61DFE"/>
    <w:multiLevelType w:val="multilevel"/>
    <w:tmpl w:val="914C9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7450046">
    <w:abstractNumId w:val="0"/>
  </w:num>
  <w:num w:numId="2" w16cid:durableId="1763841150">
    <w:abstractNumId w:val="3"/>
  </w:num>
  <w:num w:numId="3" w16cid:durableId="2091926085">
    <w:abstractNumId w:val="4"/>
  </w:num>
  <w:num w:numId="4" w16cid:durableId="1648585449">
    <w:abstractNumId w:val="2"/>
  </w:num>
  <w:num w:numId="5" w16cid:durableId="632449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6D"/>
    <w:rsid w:val="000E1A48"/>
    <w:rsid w:val="00117D8F"/>
    <w:rsid w:val="00123B2A"/>
    <w:rsid w:val="0022732F"/>
    <w:rsid w:val="002A349B"/>
    <w:rsid w:val="002B6B37"/>
    <w:rsid w:val="002E4EB6"/>
    <w:rsid w:val="003204EA"/>
    <w:rsid w:val="00352BA7"/>
    <w:rsid w:val="00381814"/>
    <w:rsid w:val="0041347C"/>
    <w:rsid w:val="004171AA"/>
    <w:rsid w:val="004C41D0"/>
    <w:rsid w:val="005D386D"/>
    <w:rsid w:val="00674831"/>
    <w:rsid w:val="006A68FC"/>
    <w:rsid w:val="00785369"/>
    <w:rsid w:val="008A2FF6"/>
    <w:rsid w:val="008D5FC9"/>
    <w:rsid w:val="0098236C"/>
    <w:rsid w:val="009A492F"/>
    <w:rsid w:val="009B5250"/>
    <w:rsid w:val="00A52F2C"/>
    <w:rsid w:val="00B61852"/>
    <w:rsid w:val="00B82F16"/>
    <w:rsid w:val="00C20434"/>
    <w:rsid w:val="00DD1B72"/>
    <w:rsid w:val="00E21DAF"/>
    <w:rsid w:val="00EE022B"/>
    <w:rsid w:val="00FC138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4741"/>
  <w15:chartTrackingRefBased/>
  <w15:docId w15:val="{C41A1D43-91BE-401B-A8BB-388B571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FC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7D8F"/>
  </w:style>
  <w:style w:type="character" w:customStyle="1" w:styleId="CommentTextChar">
    <w:name w:val="Comment Text Char"/>
    <w:basedOn w:val="DefaultParagraphFont"/>
    <w:link w:val="CommentText"/>
    <w:uiPriority w:val="99"/>
    <w:semiHidden/>
    <w:rsid w:val="00117D8F"/>
    <w:rPr>
      <w:rFonts w:ascii="Arial" w:eastAsia="Times New Roman" w:hAnsi="Arial" w:cs="Times New Roman"/>
      <w:sz w:val="20"/>
      <w:szCs w:val="20"/>
    </w:rPr>
  </w:style>
  <w:style w:type="paragraph" w:customStyle="1" w:styleId="Default">
    <w:name w:val="Default"/>
    <w:rsid w:val="008D5FC9"/>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854883">
      <w:bodyDiv w:val="1"/>
      <w:marLeft w:val="0"/>
      <w:marRight w:val="0"/>
      <w:marTop w:val="0"/>
      <w:marBottom w:val="0"/>
      <w:divBdr>
        <w:top w:val="none" w:sz="0" w:space="0" w:color="auto"/>
        <w:left w:val="none" w:sz="0" w:space="0" w:color="auto"/>
        <w:bottom w:val="none" w:sz="0" w:space="0" w:color="auto"/>
        <w:right w:val="none" w:sz="0" w:space="0" w:color="auto"/>
      </w:divBdr>
    </w:div>
    <w:div w:id="20446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389</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2</cp:revision>
  <dcterms:created xsi:type="dcterms:W3CDTF">2023-05-03T05:42:00Z</dcterms:created>
  <dcterms:modified xsi:type="dcterms:W3CDTF">2023-05-03T05:42:00Z</dcterms:modified>
</cp:coreProperties>
</file>