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D5216" w14:textId="77777777" w:rsidR="00845C23" w:rsidRPr="002A4749" w:rsidRDefault="00845C23" w:rsidP="00845C23">
      <w:pPr>
        <w:pStyle w:val="Default"/>
        <w:jc w:val="right"/>
        <w:rPr>
          <w:rFonts w:ascii="Arial" w:hAnsi="Arial" w:cs="Arial"/>
          <w:sz w:val="22"/>
          <w:szCs w:val="22"/>
          <w:lang w:val="lv-LV"/>
        </w:rPr>
      </w:pPr>
      <w:r w:rsidRPr="002A4749">
        <w:rPr>
          <w:rFonts w:ascii="Arial" w:hAnsi="Arial" w:cs="Arial"/>
          <w:sz w:val="22"/>
          <w:szCs w:val="22"/>
          <w:lang w:val="lv-LV"/>
        </w:rPr>
        <w:t>APSTIPRINĀTS</w:t>
      </w:r>
    </w:p>
    <w:p w14:paraId="18630E55" w14:textId="77777777" w:rsidR="00845C23" w:rsidRPr="002A4749" w:rsidRDefault="00845C23" w:rsidP="00845C23">
      <w:pPr>
        <w:pStyle w:val="Default"/>
        <w:jc w:val="right"/>
        <w:rPr>
          <w:rFonts w:ascii="Arial" w:hAnsi="Arial" w:cs="Arial"/>
          <w:sz w:val="22"/>
          <w:szCs w:val="22"/>
          <w:lang w:val="lv-LV"/>
        </w:rPr>
      </w:pPr>
      <w:r w:rsidRPr="002A4749">
        <w:rPr>
          <w:rFonts w:ascii="Arial" w:hAnsi="Arial" w:cs="Arial"/>
          <w:sz w:val="22"/>
          <w:szCs w:val="22"/>
          <w:lang w:val="lv-LV"/>
        </w:rPr>
        <w:t>ar VAS “Latvijas dzelzceļš” iepirkuma komisijas</w:t>
      </w:r>
    </w:p>
    <w:p w14:paraId="2B29927F" w14:textId="77777777" w:rsidR="00845C23" w:rsidRPr="002A4749" w:rsidRDefault="00845C23" w:rsidP="00845C23">
      <w:pPr>
        <w:pStyle w:val="Default"/>
        <w:jc w:val="right"/>
        <w:rPr>
          <w:rFonts w:ascii="Arial" w:hAnsi="Arial" w:cs="Arial"/>
          <w:sz w:val="22"/>
          <w:szCs w:val="22"/>
          <w:lang w:val="lv-LV"/>
        </w:rPr>
      </w:pPr>
      <w:r w:rsidRPr="002A4749">
        <w:rPr>
          <w:rFonts w:ascii="Arial" w:hAnsi="Arial" w:cs="Arial"/>
          <w:sz w:val="22"/>
          <w:szCs w:val="22"/>
          <w:lang w:val="lv-LV"/>
        </w:rPr>
        <w:t xml:space="preserve">2021.gada </w:t>
      </w:r>
      <w:r>
        <w:rPr>
          <w:rFonts w:ascii="Arial" w:hAnsi="Arial" w:cs="Arial"/>
          <w:sz w:val="22"/>
          <w:szCs w:val="22"/>
          <w:lang w:val="lv-LV"/>
        </w:rPr>
        <w:t>20.augusta 2</w:t>
      </w:r>
      <w:r w:rsidRPr="002A4749">
        <w:rPr>
          <w:rFonts w:ascii="Arial" w:hAnsi="Arial" w:cs="Arial"/>
          <w:sz w:val="22"/>
          <w:szCs w:val="22"/>
          <w:lang w:val="lv-LV"/>
        </w:rPr>
        <w:t>.sēdes protokolu</w:t>
      </w:r>
    </w:p>
    <w:p w14:paraId="74E5CDC7" w14:textId="77777777" w:rsidR="00845C23" w:rsidRDefault="00845C23" w:rsidP="00845C23">
      <w:pPr>
        <w:pStyle w:val="Heading1"/>
        <w:tabs>
          <w:tab w:val="left" w:pos="6946"/>
        </w:tabs>
        <w:jc w:val="center"/>
        <w:rPr>
          <w:rFonts w:ascii="Arial" w:hAnsi="Arial" w:cs="Arial"/>
          <w:b/>
          <w:sz w:val="22"/>
          <w:szCs w:val="22"/>
        </w:rPr>
      </w:pPr>
    </w:p>
    <w:p w14:paraId="2F143B9D" w14:textId="77777777" w:rsidR="00845C23" w:rsidRDefault="00845C23" w:rsidP="00845C23">
      <w:pPr>
        <w:pStyle w:val="Heading1"/>
        <w:tabs>
          <w:tab w:val="left" w:pos="6946"/>
        </w:tabs>
        <w:jc w:val="center"/>
        <w:rPr>
          <w:rFonts w:ascii="Arial" w:hAnsi="Arial" w:cs="Arial"/>
          <w:b/>
          <w:sz w:val="22"/>
          <w:szCs w:val="22"/>
        </w:rPr>
      </w:pPr>
      <w:r>
        <w:rPr>
          <w:rFonts w:ascii="Arial" w:hAnsi="Arial" w:cs="Arial"/>
          <w:b/>
          <w:sz w:val="22"/>
          <w:szCs w:val="22"/>
        </w:rPr>
        <w:t>VAS “Latvijas dzelzceļš” organizētās</w:t>
      </w:r>
    </w:p>
    <w:p w14:paraId="363FB44D" w14:textId="77777777" w:rsidR="00845C23" w:rsidRPr="00562076" w:rsidRDefault="00845C23" w:rsidP="00845C23">
      <w:pPr>
        <w:jc w:val="center"/>
        <w:rPr>
          <w:rFonts w:ascii="Arial" w:hAnsi="Arial" w:cs="Arial"/>
          <w:b/>
          <w:sz w:val="22"/>
          <w:szCs w:val="22"/>
          <w:lang w:val="lv-LV"/>
        </w:rPr>
      </w:pPr>
      <w:r w:rsidRPr="00562076">
        <w:rPr>
          <w:rFonts w:ascii="Arial" w:hAnsi="Arial" w:cs="Arial"/>
          <w:b/>
          <w:sz w:val="22"/>
          <w:szCs w:val="22"/>
          <w:lang w:val="lv-LV"/>
        </w:rPr>
        <w:t>sarunu procedūras ar publikāciju</w:t>
      </w:r>
    </w:p>
    <w:p w14:paraId="44F4C5A4" w14:textId="77777777" w:rsidR="00845C23" w:rsidRDefault="00845C23" w:rsidP="00845C23">
      <w:pPr>
        <w:rPr>
          <w:rFonts w:ascii="Arial" w:hAnsi="Arial" w:cs="Arial"/>
          <w:b/>
          <w:sz w:val="22"/>
          <w:szCs w:val="22"/>
          <w:lang w:val="lv-LV"/>
        </w:rPr>
      </w:pPr>
      <w:r w:rsidRPr="00562076">
        <w:rPr>
          <w:rFonts w:ascii="Arial" w:hAnsi="Arial" w:cs="Arial"/>
          <w:b/>
          <w:sz w:val="22"/>
          <w:szCs w:val="22"/>
          <w:lang w:val="lv-LV"/>
        </w:rPr>
        <w:t>“Kancelejas preču un biroja papīra piegāde SIA "LDz Cargo" vajadzībām”</w:t>
      </w:r>
    </w:p>
    <w:p w14:paraId="7D4EEBFB" w14:textId="77777777" w:rsidR="00845C23" w:rsidRPr="00EE0113" w:rsidRDefault="00845C23" w:rsidP="00845C23">
      <w:pPr>
        <w:pStyle w:val="Default"/>
        <w:jc w:val="center"/>
        <w:rPr>
          <w:rFonts w:ascii="Arial" w:hAnsi="Arial" w:cs="Arial"/>
          <w:b/>
          <w:sz w:val="22"/>
          <w:szCs w:val="22"/>
          <w:lang w:val="lv-LV"/>
        </w:rPr>
      </w:pPr>
      <w:r w:rsidRPr="00EE0113">
        <w:rPr>
          <w:rFonts w:ascii="Arial" w:hAnsi="Arial" w:cs="Arial"/>
          <w:b/>
          <w:sz w:val="22"/>
          <w:szCs w:val="22"/>
          <w:lang w:val="lv-LV"/>
        </w:rPr>
        <w:t>(turpmāk – sarunu procedūra)</w:t>
      </w:r>
    </w:p>
    <w:p w14:paraId="57C0005B" w14:textId="77777777" w:rsidR="00845C23" w:rsidRPr="00EE0113" w:rsidRDefault="00845C23" w:rsidP="00845C23">
      <w:pPr>
        <w:pStyle w:val="Default"/>
        <w:jc w:val="center"/>
        <w:rPr>
          <w:rFonts w:ascii="Arial" w:hAnsi="Arial" w:cs="Arial"/>
          <w:b/>
          <w:smallCaps/>
          <w:sz w:val="22"/>
          <w:szCs w:val="22"/>
          <w:lang w:val="lv-LV"/>
        </w:rPr>
      </w:pPr>
    </w:p>
    <w:p w14:paraId="7BDA8CC7" w14:textId="77777777" w:rsidR="00845C23" w:rsidRPr="00EE0113" w:rsidRDefault="00845C23" w:rsidP="00845C23">
      <w:pPr>
        <w:pStyle w:val="Default"/>
        <w:jc w:val="center"/>
        <w:rPr>
          <w:rFonts w:ascii="Arial" w:hAnsi="Arial" w:cs="Arial"/>
          <w:b/>
          <w:smallCaps/>
          <w:sz w:val="22"/>
          <w:szCs w:val="22"/>
          <w:lang w:val="lv-LV"/>
        </w:rPr>
      </w:pPr>
      <w:r w:rsidRPr="00EE0113">
        <w:rPr>
          <w:rFonts w:ascii="Arial" w:hAnsi="Arial" w:cs="Arial"/>
          <w:b/>
          <w:smallCaps/>
          <w:sz w:val="22"/>
          <w:szCs w:val="22"/>
          <w:lang w:val="lv-LV"/>
        </w:rPr>
        <w:t>Skaidrojums Nr.1</w:t>
      </w:r>
    </w:p>
    <w:p w14:paraId="0A57B9D0" w14:textId="77777777" w:rsidR="00845C23" w:rsidRDefault="00845C23" w:rsidP="00845C23">
      <w:pPr>
        <w:pStyle w:val="Default"/>
        <w:jc w:val="center"/>
        <w:rPr>
          <w:rFonts w:ascii="Arial" w:hAnsi="Arial" w:cs="Arial"/>
          <w:bCs/>
          <w:sz w:val="22"/>
          <w:szCs w:val="22"/>
          <w:lang w:val="lv-LV"/>
        </w:rPr>
      </w:pPr>
      <w:r>
        <w:rPr>
          <w:rFonts w:ascii="Arial" w:hAnsi="Arial" w:cs="Arial"/>
          <w:bCs/>
          <w:sz w:val="22"/>
          <w:szCs w:val="22"/>
          <w:lang w:val="lv-LV"/>
        </w:rPr>
        <w:t xml:space="preserve">Sarunu procedūras iepirkuma komisijas sniegtā atbilde pēc </w:t>
      </w:r>
      <w:r w:rsidRPr="008E100F">
        <w:rPr>
          <w:rFonts w:ascii="Arial" w:hAnsi="Arial" w:cs="Arial"/>
          <w:bCs/>
          <w:sz w:val="22"/>
          <w:szCs w:val="22"/>
          <w:lang w:val="lv-LV"/>
        </w:rPr>
        <w:t>Ieinteresēt</w:t>
      </w:r>
      <w:r>
        <w:rPr>
          <w:rFonts w:ascii="Arial" w:hAnsi="Arial" w:cs="Arial"/>
          <w:bCs/>
          <w:sz w:val="22"/>
          <w:szCs w:val="22"/>
          <w:lang w:val="lv-LV"/>
        </w:rPr>
        <w:t>ā</w:t>
      </w:r>
      <w:r w:rsidRPr="008E100F">
        <w:rPr>
          <w:rFonts w:ascii="Arial" w:hAnsi="Arial" w:cs="Arial"/>
          <w:bCs/>
          <w:sz w:val="22"/>
          <w:szCs w:val="22"/>
          <w:lang w:val="lv-LV"/>
        </w:rPr>
        <w:t xml:space="preserve"> piegādātāj</w:t>
      </w:r>
      <w:r>
        <w:rPr>
          <w:rFonts w:ascii="Arial" w:hAnsi="Arial" w:cs="Arial"/>
          <w:bCs/>
          <w:sz w:val="22"/>
          <w:szCs w:val="22"/>
          <w:lang w:val="lv-LV"/>
        </w:rPr>
        <w:t>a</w:t>
      </w:r>
      <w:r w:rsidRPr="008E100F">
        <w:rPr>
          <w:rFonts w:ascii="Arial" w:hAnsi="Arial" w:cs="Arial"/>
          <w:bCs/>
          <w:sz w:val="22"/>
          <w:szCs w:val="22"/>
          <w:lang w:val="lv-LV"/>
        </w:rPr>
        <w:t xml:space="preserve"> jautājum</w:t>
      </w:r>
      <w:r>
        <w:rPr>
          <w:rFonts w:ascii="Arial" w:hAnsi="Arial" w:cs="Arial"/>
          <w:bCs/>
          <w:sz w:val="22"/>
          <w:szCs w:val="22"/>
          <w:lang w:val="lv-LV"/>
        </w:rPr>
        <w:t>a</w:t>
      </w:r>
      <w:r w:rsidRPr="008E100F">
        <w:rPr>
          <w:rFonts w:ascii="Arial" w:hAnsi="Arial" w:cs="Arial"/>
          <w:bCs/>
          <w:sz w:val="22"/>
          <w:szCs w:val="22"/>
          <w:lang w:val="lv-LV"/>
        </w:rPr>
        <w:t xml:space="preserve"> (saņemt</w:t>
      </w:r>
      <w:r>
        <w:rPr>
          <w:rFonts w:ascii="Arial" w:hAnsi="Arial" w:cs="Arial"/>
          <w:bCs/>
          <w:sz w:val="22"/>
          <w:szCs w:val="22"/>
          <w:lang w:val="lv-LV"/>
        </w:rPr>
        <w:t>s 17.08.2021</w:t>
      </w:r>
      <w:r w:rsidRPr="0021184E">
        <w:rPr>
          <w:rFonts w:ascii="Arial" w:hAnsi="Arial" w:cs="Arial"/>
          <w:bCs/>
          <w:color w:val="auto"/>
          <w:sz w:val="22"/>
          <w:szCs w:val="22"/>
          <w:lang w:val="lv-LV"/>
        </w:rPr>
        <w:t>.</w:t>
      </w:r>
      <w:r w:rsidRPr="008E100F">
        <w:rPr>
          <w:rFonts w:ascii="Arial" w:hAnsi="Arial" w:cs="Arial"/>
          <w:bCs/>
          <w:sz w:val="22"/>
          <w:szCs w:val="22"/>
          <w:lang w:val="lv-LV"/>
        </w:rPr>
        <w:t>):</w:t>
      </w:r>
    </w:p>
    <w:p w14:paraId="62801C6E" w14:textId="77777777" w:rsidR="00845C23" w:rsidRDefault="00845C23" w:rsidP="00845C23">
      <w:pPr>
        <w:rPr>
          <w:lang w:val="lv-LV"/>
        </w:rPr>
      </w:pPr>
    </w:p>
    <w:tbl>
      <w:tblPr>
        <w:tblStyle w:val="TableGrid"/>
        <w:tblW w:w="9923" w:type="dxa"/>
        <w:tblInd w:w="-147" w:type="dxa"/>
        <w:tblLook w:val="04A0" w:firstRow="1" w:lastRow="0" w:firstColumn="1" w:lastColumn="0" w:noHBand="0" w:noVBand="1"/>
      </w:tblPr>
      <w:tblGrid>
        <w:gridCol w:w="595"/>
        <w:gridCol w:w="4738"/>
        <w:gridCol w:w="4590"/>
      </w:tblGrid>
      <w:tr w:rsidR="00845C23" w:rsidRPr="00962916" w14:paraId="722F1FC8" w14:textId="77777777" w:rsidTr="00B356C5">
        <w:tc>
          <w:tcPr>
            <w:tcW w:w="426" w:type="dxa"/>
          </w:tcPr>
          <w:p w14:paraId="67CF86D1" w14:textId="77777777" w:rsidR="00845C23" w:rsidRDefault="00845C23" w:rsidP="00B356C5">
            <w:pPr>
              <w:rPr>
                <w:rFonts w:ascii="Arial" w:hAnsi="Arial" w:cs="Arial"/>
                <w:b/>
                <w:bCs/>
                <w:sz w:val="22"/>
                <w:szCs w:val="22"/>
                <w:lang w:val="lv-LV"/>
              </w:rPr>
            </w:pPr>
            <w:r>
              <w:rPr>
                <w:rFonts w:ascii="Arial" w:hAnsi="Arial" w:cs="Arial"/>
                <w:b/>
                <w:bCs/>
                <w:sz w:val="22"/>
                <w:szCs w:val="22"/>
                <w:lang w:val="lv-LV"/>
              </w:rPr>
              <w:t>Nr.</w:t>
            </w:r>
          </w:p>
          <w:p w14:paraId="1F73FE7B" w14:textId="77777777" w:rsidR="00845C23" w:rsidRPr="00962916" w:rsidRDefault="00845C23" w:rsidP="00B356C5">
            <w:pPr>
              <w:rPr>
                <w:rFonts w:ascii="Arial" w:hAnsi="Arial" w:cs="Arial"/>
                <w:b/>
                <w:bCs/>
                <w:sz w:val="22"/>
                <w:szCs w:val="22"/>
                <w:lang w:val="lv-LV"/>
              </w:rPr>
            </w:pPr>
            <w:r>
              <w:rPr>
                <w:rFonts w:ascii="Arial" w:hAnsi="Arial" w:cs="Arial"/>
                <w:b/>
                <w:bCs/>
                <w:sz w:val="22"/>
                <w:szCs w:val="22"/>
                <w:lang w:val="lv-LV"/>
              </w:rPr>
              <w:t>p.k.</w:t>
            </w:r>
          </w:p>
        </w:tc>
        <w:tc>
          <w:tcPr>
            <w:tcW w:w="4819" w:type="dxa"/>
          </w:tcPr>
          <w:p w14:paraId="3FF68681" w14:textId="77777777" w:rsidR="00845C23" w:rsidRPr="00962916" w:rsidRDefault="00845C23" w:rsidP="00B356C5">
            <w:pPr>
              <w:rPr>
                <w:rFonts w:ascii="Arial" w:hAnsi="Arial" w:cs="Arial"/>
                <w:b/>
                <w:bCs/>
                <w:sz w:val="22"/>
                <w:szCs w:val="22"/>
                <w:lang w:val="lv-LV"/>
              </w:rPr>
            </w:pPr>
            <w:r w:rsidRPr="00962916">
              <w:rPr>
                <w:rFonts w:ascii="Arial" w:hAnsi="Arial" w:cs="Arial"/>
                <w:b/>
                <w:bCs/>
                <w:sz w:val="22"/>
                <w:szCs w:val="22"/>
                <w:lang w:val="lv-LV"/>
              </w:rPr>
              <w:t>Jautājums</w:t>
            </w:r>
          </w:p>
        </w:tc>
        <w:tc>
          <w:tcPr>
            <w:tcW w:w="4678" w:type="dxa"/>
          </w:tcPr>
          <w:p w14:paraId="6F92EA30" w14:textId="77777777" w:rsidR="00845C23" w:rsidRPr="00962916" w:rsidRDefault="00845C23" w:rsidP="00B356C5">
            <w:pPr>
              <w:rPr>
                <w:rFonts w:ascii="Arial" w:hAnsi="Arial" w:cs="Arial"/>
                <w:b/>
                <w:bCs/>
                <w:sz w:val="22"/>
                <w:szCs w:val="22"/>
                <w:lang w:val="lv-LV"/>
              </w:rPr>
            </w:pPr>
            <w:r w:rsidRPr="00962916">
              <w:rPr>
                <w:rFonts w:ascii="Arial" w:hAnsi="Arial" w:cs="Arial"/>
                <w:b/>
                <w:bCs/>
                <w:sz w:val="22"/>
                <w:szCs w:val="22"/>
                <w:lang w:val="lv-LV"/>
              </w:rPr>
              <w:t>Atbilde</w:t>
            </w:r>
          </w:p>
        </w:tc>
      </w:tr>
      <w:tr w:rsidR="00845C23" w:rsidRPr="00AD7977" w14:paraId="6F7D1938" w14:textId="77777777" w:rsidTr="00B356C5">
        <w:tc>
          <w:tcPr>
            <w:tcW w:w="426" w:type="dxa"/>
          </w:tcPr>
          <w:p w14:paraId="14E32EAD" w14:textId="77777777" w:rsidR="00845C23" w:rsidRPr="00962916" w:rsidRDefault="00845C23" w:rsidP="00B356C5">
            <w:pPr>
              <w:rPr>
                <w:rFonts w:ascii="Arial" w:hAnsi="Arial" w:cs="Arial"/>
                <w:sz w:val="22"/>
                <w:szCs w:val="22"/>
                <w:lang w:val="lv-LV"/>
              </w:rPr>
            </w:pPr>
            <w:r>
              <w:rPr>
                <w:rFonts w:ascii="Arial" w:hAnsi="Arial" w:cs="Arial"/>
                <w:sz w:val="22"/>
                <w:szCs w:val="22"/>
                <w:lang w:val="lv-LV"/>
              </w:rPr>
              <w:t>1.</w:t>
            </w:r>
          </w:p>
        </w:tc>
        <w:tc>
          <w:tcPr>
            <w:tcW w:w="4819" w:type="dxa"/>
          </w:tcPr>
          <w:p w14:paraId="6A824F6D" w14:textId="77777777" w:rsidR="00845C23" w:rsidRPr="00962916" w:rsidRDefault="00845C23" w:rsidP="00B356C5">
            <w:pPr>
              <w:spacing w:after="60"/>
              <w:ind w:firstLine="567"/>
              <w:jc w:val="both"/>
              <w:rPr>
                <w:rFonts w:ascii="Arial" w:hAnsi="Arial" w:cs="Arial"/>
                <w:sz w:val="22"/>
                <w:szCs w:val="22"/>
                <w:lang w:val="lv-LV"/>
              </w:rPr>
            </w:pPr>
            <w:r w:rsidRPr="00962916">
              <w:rPr>
                <w:rFonts w:ascii="Arial" w:hAnsi="Arial" w:cs="Arial"/>
                <w:sz w:val="22"/>
                <w:szCs w:val="22"/>
                <w:lang w:val="lv-LV"/>
              </w:rPr>
              <w:t xml:space="preserve">Iepirkuma nolikuma 4.1.1. punkts noteic, ka piedāvājuma izvēles kritērijs ir saimnieciski izdevīgākais piedāvājums, tomēr zemāk aprakstītā iemesla dēļ Pasūtītāja noteiktie vērtēšanas kritēriji neļauj noteikt, kurš no piedāvājumiem uzskatāms par saimnieciski visizdevīgāko. </w:t>
            </w:r>
          </w:p>
          <w:p w14:paraId="242E0BB9" w14:textId="77777777" w:rsidR="00845C23" w:rsidRPr="00962916" w:rsidRDefault="00845C23" w:rsidP="00B356C5">
            <w:pPr>
              <w:jc w:val="both"/>
              <w:rPr>
                <w:rFonts w:ascii="Arial" w:hAnsi="Arial" w:cs="Arial"/>
                <w:sz w:val="22"/>
                <w:szCs w:val="22"/>
                <w:lang w:val="lv-LV"/>
              </w:rPr>
            </w:pPr>
            <w:r w:rsidRPr="00962916">
              <w:rPr>
                <w:rFonts w:ascii="Arial" w:hAnsi="Arial" w:cs="Arial"/>
                <w:sz w:val="22"/>
                <w:szCs w:val="22"/>
                <w:lang w:val="lv-LV"/>
              </w:rPr>
              <w:tab/>
              <w:t>Iepirkuma nolikuma 4.1.2..punktā norādīti kritēriji, pēc kuriem Pasūtītājs noteiks, kurš piedāvājums ir saimnieciski visizdevīgākais un kuram pretendentam piešķiramas tiesības noslēgt iepirkuma līgumu. Viens no noteiktajiem kritērijiem ir piedāvātā atlaide (%), par ko pretendentiem var tiks piešķirti 40 punkti. Maksimāli iegūstamais punktu skaits ir 100, tātad šis kritērijs veido divas piektdaļas no kopējā punktu skaita, kas ir būtisks apjoms ar lielu ietekmi vērtēšanas gala rezultātā.</w:t>
            </w:r>
          </w:p>
          <w:p w14:paraId="15848D1B" w14:textId="77777777" w:rsidR="00845C23" w:rsidRPr="00962916" w:rsidRDefault="00845C23" w:rsidP="00B356C5">
            <w:pPr>
              <w:ind w:firstLine="720"/>
              <w:jc w:val="both"/>
              <w:rPr>
                <w:rFonts w:ascii="Arial" w:hAnsi="Arial" w:cs="Arial"/>
                <w:sz w:val="22"/>
                <w:szCs w:val="22"/>
                <w:lang w:val="lv-LV"/>
              </w:rPr>
            </w:pPr>
            <w:r w:rsidRPr="00962916">
              <w:rPr>
                <w:rFonts w:ascii="Arial" w:hAnsi="Arial" w:cs="Arial"/>
                <w:sz w:val="22"/>
                <w:szCs w:val="22"/>
                <w:lang w:val="lv-LV"/>
              </w:rPr>
              <w:t xml:space="preserve">Publisko iepirkumu likuma 51.pants nosaka, ka iepirkuma līguma noslēgšanas tiesības ir jāpiešķir saimnieciski visizdevīgākajam piedāvājumam. Tātad pasūtītāja izvēlētajiem kritērijiem ir jānodrošina, ka, pamatojoties uz tiem, tas varēs noteikt saimnieciski visizdevīgāko piedāvājumu. Pasūtītāja izvēlētais kritērijs “Atlaides likme” šo mērķi neizpilda. Proti, lielāka atlaide nenodrošina to, ka preces iegādes brīdī, Pasūtītājs iegūs zemāko iespējamo cenu. Tā kā katrs no komersantiem brīvās konkurences apstākļos piedāvā atšķirīgu, neatkarīgi noteiktu preces sākuma cenu, kurai atlaide tiek piemērota, attiecīgi lielākas atlaides apmērs nenodrošina un nevar tikt izdarīts pieņēmums, ka gala cena lielākās atlaides gadījumā būs zemāka kā komersantiem ar mazāku piedāvāto atlaidi. </w:t>
            </w:r>
          </w:p>
          <w:p w14:paraId="1925F092" w14:textId="77777777" w:rsidR="00845C23" w:rsidRPr="00962916" w:rsidRDefault="00845C23" w:rsidP="00B356C5">
            <w:pPr>
              <w:ind w:firstLine="720"/>
              <w:jc w:val="both"/>
              <w:rPr>
                <w:rFonts w:ascii="Arial" w:hAnsi="Arial" w:cs="Arial"/>
                <w:i/>
                <w:sz w:val="22"/>
                <w:szCs w:val="22"/>
                <w:lang w:val="lv-LV"/>
              </w:rPr>
            </w:pPr>
            <w:r w:rsidRPr="00962916">
              <w:rPr>
                <w:rFonts w:ascii="Arial" w:hAnsi="Arial" w:cs="Arial"/>
                <w:i/>
                <w:sz w:val="22"/>
                <w:szCs w:val="22"/>
                <w:lang w:val="lv-LV"/>
              </w:rPr>
              <w:t xml:space="preserve">Piemērs: Pasūtītājs vēlas iegādāties pildspalvu. Komersants A ir piedāvājis 30% atlaidi, preces sākuma cena ir 1,50 EUR. Tātad iegādājoties preci no komersanta A, </w:t>
            </w:r>
            <w:r w:rsidRPr="00962916">
              <w:rPr>
                <w:rFonts w:ascii="Arial" w:hAnsi="Arial" w:cs="Arial"/>
                <w:i/>
                <w:sz w:val="22"/>
                <w:szCs w:val="22"/>
                <w:lang w:val="lv-LV"/>
              </w:rPr>
              <w:lastRenderedPageBreak/>
              <w:t>pildspalvas gala cena būs 1,05 EUR. Savukārt, komersants B iepirkumā ir piedāvājis 20% atlaidi, bet preces sākuma cena ir 1,20 EUR. Preces gala cena, to pērkot pie komersanta B, būs 0,96 EUR.</w:t>
            </w:r>
          </w:p>
          <w:p w14:paraId="5F8AC783" w14:textId="77777777" w:rsidR="00845C23" w:rsidRPr="00962916" w:rsidRDefault="00845C23" w:rsidP="00B356C5">
            <w:pPr>
              <w:ind w:firstLine="720"/>
              <w:jc w:val="both"/>
              <w:rPr>
                <w:rFonts w:ascii="Arial" w:hAnsi="Arial" w:cs="Arial"/>
                <w:i/>
                <w:sz w:val="22"/>
                <w:szCs w:val="22"/>
                <w:lang w:val="lv-LV"/>
              </w:rPr>
            </w:pPr>
            <w:r w:rsidRPr="00962916">
              <w:rPr>
                <w:rFonts w:ascii="Arial" w:hAnsi="Arial" w:cs="Arial"/>
                <w:i/>
                <w:sz w:val="22"/>
                <w:szCs w:val="22"/>
                <w:lang w:val="lv-LV"/>
              </w:rPr>
              <w:t>Secināms, ka komersantam A būs lielākas izredzes iegūt tiesības noslēgt iepirkuma līgumu, jo tas ir piedāvājis lielāku atlaidi. Taču realitātē, Pasūtītājam finansiāli izdevīgāks ir bijis komersanta B piedāvājums.</w:t>
            </w:r>
          </w:p>
          <w:p w14:paraId="6A14C873" w14:textId="77777777" w:rsidR="00845C23" w:rsidRPr="00962916" w:rsidRDefault="00845C23" w:rsidP="00B356C5">
            <w:pPr>
              <w:ind w:firstLine="720"/>
              <w:jc w:val="both"/>
              <w:rPr>
                <w:rFonts w:ascii="Arial" w:hAnsi="Arial" w:cs="Arial"/>
                <w:i/>
                <w:sz w:val="22"/>
                <w:szCs w:val="22"/>
                <w:lang w:val="lv-LV"/>
              </w:rPr>
            </w:pPr>
          </w:p>
          <w:p w14:paraId="3A5AD824" w14:textId="77777777" w:rsidR="00845C23" w:rsidRPr="00962916" w:rsidRDefault="00845C23" w:rsidP="00B356C5">
            <w:pPr>
              <w:ind w:firstLine="720"/>
              <w:jc w:val="both"/>
              <w:rPr>
                <w:rFonts w:ascii="Arial" w:hAnsi="Arial" w:cs="Arial"/>
                <w:sz w:val="22"/>
                <w:szCs w:val="22"/>
                <w:lang w:val="lv-LV"/>
              </w:rPr>
            </w:pPr>
            <w:r w:rsidRPr="00962916">
              <w:rPr>
                <w:rFonts w:ascii="Arial" w:hAnsi="Arial" w:cs="Arial"/>
                <w:sz w:val="22"/>
                <w:szCs w:val="22"/>
                <w:lang w:val="lv-LV"/>
              </w:rPr>
              <w:t>Tā kā vienīgi no atlaides apmēra (nezinot preces cenu) nav iespējams secināt, vai tās piemērošanas rezultātā Pasūtītājs iegūs zemāko cenu, tad kritēriju “Atlaides likme” nevar uzskatīt par atbilstošu Publisko iepirkuma likuma prasībām. Tas neļauj secināt, ka tiesības noslēgt iepirkuma līgumu iegūst konkursa dalībnieks ar saimnieciski visizdevīgāko piedāvājumu un ka tiek nodrošināta Pasūtītāja līdzekļu efektīva izmantošana.</w:t>
            </w:r>
          </w:p>
          <w:p w14:paraId="4A22BA4A" w14:textId="77777777" w:rsidR="00845C23" w:rsidRPr="00962916" w:rsidRDefault="00845C23" w:rsidP="00B356C5">
            <w:pPr>
              <w:ind w:firstLine="720"/>
              <w:jc w:val="both"/>
              <w:rPr>
                <w:rFonts w:ascii="Arial" w:hAnsi="Arial" w:cs="Arial"/>
                <w:sz w:val="22"/>
                <w:szCs w:val="22"/>
                <w:lang w:val="lv-LV"/>
              </w:rPr>
            </w:pPr>
          </w:p>
          <w:p w14:paraId="31518139" w14:textId="77777777" w:rsidR="00845C23" w:rsidRPr="00962916" w:rsidRDefault="00845C23" w:rsidP="00B356C5">
            <w:pPr>
              <w:ind w:firstLine="720"/>
              <w:jc w:val="both"/>
              <w:rPr>
                <w:rFonts w:ascii="Arial" w:hAnsi="Arial" w:cs="Arial"/>
                <w:sz w:val="22"/>
                <w:szCs w:val="22"/>
                <w:lang w:val="lv-LV"/>
              </w:rPr>
            </w:pPr>
            <w:r w:rsidRPr="00962916">
              <w:rPr>
                <w:rFonts w:ascii="Arial" w:hAnsi="Arial" w:cs="Arial"/>
                <w:sz w:val="22"/>
                <w:szCs w:val="22"/>
                <w:lang w:val="lv-LV"/>
              </w:rPr>
              <w:t xml:space="preserve">Ņemot vērā augstāk minēto, lūdzam izskatīt šo iesniegumu par Iepirkuma nolikuma prasībām un veikt tajā izmaiņas, nosakot objektīvus vērtēšanas kritērijus, kas ļauj noteikt uzvarētāju, kurš nodrošina Pasūtītājam saimnieciski izdevīgāko piedāvājumu. </w:t>
            </w:r>
          </w:p>
          <w:p w14:paraId="1ED74778" w14:textId="77777777" w:rsidR="00845C23" w:rsidRPr="00962916" w:rsidRDefault="00845C23" w:rsidP="00B356C5">
            <w:pPr>
              <w:ind w:firstLine="720"/>
              <w:jc w:val="both"/>
              <w:rPr>
                <w:rFonts w:ascii="Arial" w:hAnsi="Arial" w:cs="Arial"/>
                <w:sz w:val="22"/>
                <w:szCs w:val="22"/>
                <w:lang w:val="lv-LV"/>
              </w:rPr>
            </w:pPr>
            <w:r w:rsidRPr="00962916">
              <w:rPr>
                <w:rFonts w:ascii="Arial" w:hAnsi="Arial" w:cs="Arial"/>
                <w:sz w:val="22"/>
                <w:szCs w:val="22"/>
                <w:lang w:val="lv-LV"/>
              </w:rPr>
              <w:t>Lūgums sniegt atbildi, par pieņemto lēmumu 3 darba dienu laikā.</w:t>
            </w:r>
          </w:p>
        </w:tc>
        <w:tc>
          <w:tcPr>
            <w:tcW w:w="4678" w:type="dxa"/>
          </w:tcPr>
          <w:p w14:paraId="43DD7F51" w14:textId="77777777" w:rsidR="00845C23" w:rsidRDefault="00845C23" w:rsidP="00B356C5">
            <w:pPr>
              <w:autoSpaceDE w:val="0"/>
              <w:autoSpaceDN w:val="0"/>
              <w:adjustRightInd w:val="0"/>
              <w:ind w:firstLine="233"/>
              <w:jc w:val="both"/>
              <w:rPr>
                <w:rFonts w:ascii="Arial" w:eastAsiaTheme="minorHAnsi" w:hAnsi="Arial" w:cs="Arial"/>
                <w:sz w:val="22"/>
                <w:szCs w:val="22"/>
                <w:lang w:val="lv-LV" w:eastAsia="en-US" w:bidi="lo-LA"/>
              </w:rPr>
            </w:pPr>
            <w:r w:rsidRPr="002503F2">
              <w:rPr>
                <w:rFonts w:ascii="Arial" w:eastAsiaTheme="minorHAnsi" w:hAnsi="Arial" w:cs="Arial"/>
                <w:sz w:val="22"/>
                <w:szCs w:val="22"/>
                <w:lang w:val="lv-LV" w:eastAsia="en-US" w:bidi="lo-LA"/>
              </w:rPr>
              <w:lastRenderedPageBreak/>
              <w:t xml:space="preserve">Ņemot vērā jautājumā izklāstīto, </w:t>
            </w:r>
            <w:r>
              <w:rPr>
                <w:rFonts w:ascii="Arial" w:eastAsiaTheme="minorHAnsi" w:hAnsi="Arial" w:cs="Arial"/>
                <w:sz w:val="22"/>
                <w:szCs w:val="22"/>
                <w:lang w:val="lv-LV" w:eastAsia="en-US" w:bidi="lo-LA"/>
              </w:rPr>
              <w:t>“A</w:t>
            </w:r>
            <w:r w:rsidRPr="002503F2">
              <w:rPr>
                <w:rFonts w:ascii="Arial" w:eastAsiaTheme="minorHAnsi" w:hAnsi="Arial" w:cs="Arial"/>
                <w:sz w:val="22"/>
                <w:szCs w:val="22"/>
                <w:lang w:val="lv-LV" w:eastAsia="en-US" w:bidi="lo-LA"/>
              </w:rPr>
              <w:t>tlaides likmei (%)</w:t>
            </w:r>
            <w:r>
              <w:rPr>
                <w:rFonts w:ascii="Arial" w:eastAsiaTheme="minorHAnsi" w:hAnsi="Arial" w:cs="Arial"/>
                <w:sz w:val="22"/>
                <w:szCs w:val="22"/>
                <w:lang w:val="lv-LV" w:eastAsia="en-US" w:bidi="lo-LA"/>
              </w:rPr>
              <w:t xml:space="preserve">” (Kritērijs K2) </w:t>
            </w:r>
            <w:r w:rsidRPr="002503F2">
              <w:rPr>
                <w:rFonts w:ascii="Arial" w:eastAsiaTheme="minorHAnsi" w:hAnsi="Arial" w:cs="Arial"/>
                <w:sz w:val="22"/>
                <w:szCs w:val="22"/>
                <w:lang w:val="lv-LV" w:eastAsia="en-US" w:bidi="lo-LA"/>
              </w:rPr>
              <w:t>tiek samazināta maksimālā skaitliskā vērtība no 40 uz 30 punktiem</w:t>
            </w:r>
            <w:r>
              <w:rPr>
                <w:rFonts w:ascii="Arial" w:eastAsiaTheme="minorHAnsi" w:hAnsi="Arial" w:cs="Arial"/>
                <w:sz w:val="22"/>
                <w:szCs w:val="22"/>
                <w:lang w:val="lv-LV" w:eastAsia="en-US" w:bidi="lo-LA"/>
              </w:rPr>
              <w:t>.</w:t>
            </w:r>
          </w:p>
          <w:p w14:paraId="236A0D29" w14:textId="77777777" w:rsidR="00845C23" w:rsidRPr="002503F2" w:rsidRDefault="00845C23" w:rsidP="00B356C5">
            <w:pPr>
              <w:autoSpaceDE w:val="0"/>
              <w:autoSpaceDN w:val="0"/>
              <w:adjustRightInd w:val="0"/>
              <w:ind w:firstLine="233"/>
              <w:jc w:val="both"/>
              <w:rPr>
                <w:rFonts w:ascii="Arial" w:eastAsiaTheme="minorHAnsi" w:hAnsi="Arial" w:cs="Arial"/>
                <w:sz w:val="22"/>
                <w:szCs w:val="22"/>
                <w:lang w:val="lv-LV" w:eastAsia="en-US" w:bidi="lo-LA"/>
              </w:rPr>
            </w:pPr>
            <w:r>
              <w:rPr>
                <w:rFonts w:ascii="Arial" w:eastAsiaTheme="minorHAnsi" w:hAnsi="Arial" w:cs="Arial"/>
                <w:sz w:val="22"/>
                <w:szCs w:val="22"/>
                <w:lang w:val="lv-LV" w:eastAsia="en-US" w:bidi="lo-LA"/>
              </w:rPr>
              <w:t xml:space="preserve">Attiecīgi, “Kopējai piedāvājuma cenai EUR  bez PVN bez atlaides” (Kritērijs K1) tiek aritmētiski un proporcionāli palielināta maksimālā skaitliskā vērtība no 60 uz 70 punktiem </w:t>
            </w:r>
            <w:r w:rsidRPr="002503F2">
              <w:rPr>
                <w:rFonts w:ascii="Arial" w:eastAsiaTheme="minorHAnsi" w:hAnsi="Arial" w:cs="Arial"/>
                <w:sz w:val="22"/>
                <w:szCs w:val="22"/>
                <w:lang w:val="lv-LV" w:eastAsia="en-US" w:bidi="lo-LA"/>
              </w:rPr>
              <w:t>(</w:t>
            </w:r>
            <w:proofErr w:type="spellStart"/>
            <w:r w:rsidRPr="002503F2">
              <w:rPr>
                <w:rFonts w:ascii="Arial" w:eastAsiaTheme="minorHAnsi" w:hAnsi="Arial" w:cs="Arial"/>
                <w:sz w:val="22"/>
                <w:szCs w:val="22"/>
                <w:lang w:val="lv-LV" w:eastAsia="en-US" w:bidi="lo-LA"/>
              </w:rPr>
              <w:t>skat.arī</w:t>
            </w:r>
            <w:proofErr w:type="spellEnd"/>
            <w:r w:rsidRPr="002503F2">
              <w:rPr>
                <w:rFonts w:ascii="Arial" w:eastAsiaTheme="minorHAnsi" w:hAnsi="Arial" w:cs="Arial"/>
                <w:sz w:val="22"/>
                <w:szCs w:val="22"/>
                <w:lang w:val="lv-LV" w:eastAsia="en-US" w:bidi="lo-LA"/>
              </w:rPr>
              <w:t xml:space="preserve"> sarunu procedūras nolikumam Grozījumus Nr.1) </w:t>
            </w:r>
          </w:p>
          <w:p w14:paraId="3687A35B" w14:textId="77777777" w:rsidR="00845C23" w:rsidRPr="00AD7977" w:rsidRDefault="00845C23" w:rsidP="00B356C5">
            <w:pPr>
              <w:autoSpaceDE w:val="0"/>
              <w:autoSpaceDN w:val="0"/>
              <w:adjustRightInd w:val="0"/>
              <w:ind w:firstLine="233"/>
              <w:jc w:val="both"/>
              <w:rPr>
                <w:rFonts w:ascii="Arial" w:hAnsi="Arial" w:cs="Arial"/>
                <w:sz w:val="22"/>
                <w:szCs w:val="22"/>
                <w:lang w:val="lv-LV"/>
              </w:rPr>
            </w:pPr>
          </w:p>
          <w:p w14:paraId="0C929C26" w14:textId="77777777" w:rsidR="00845C23" w:rsidRPr="002503F2" w:rsidRDefault="00845C23" w:rsidP="00B356C5">
            <w:pPr>
              <w:autoSpaceDE w:val="0"/>
              <w:autoSpaceDN w:val="0"/>
              <w:adjustRightInd w:val="0"/>
              <w:ind w:firstLine="233"/>
              <w:jc w:val="both"/>
              <w:rPr>
                <w:rFonts w:ascii="Arial" w:hAnsi="Arial" w:cs="Arial"/>
                <w:sz w:val="22"/>
                <w:szCs w:val="22"/>
                <w:lang w:val="lv-LV"/>
              </w:rPr>
            </w:pPr>
            <w:r w:rsidRPr="00AD7977">
              <w:rPr>
                <w:rFonts w:ascii="Arial" w:hAnsi="Arial" w:cs="Arial"/>
                <w:sz w:val="22"/>
                <w:szCs w:val="22"/>
                <w:lang w:val="lv-LV"/>
              </w:rPr>
              <w:t>Vienlaikus skaidrojam, ka līguma ietvaros iegādājamo preču nomenklatūra (sortiments) kopsakarā ar uzņēmuma operatīvajām vajadzībām ir samērā plaša, un to racionāli nav iespējams visaptveroši uzskaitīt un fiksēt. Ievērojot minēto, sarunu procedūras kritērijos un līgumā tiek noteikta arī atlaides likme un tā līguma izpildē ir nepieciešama un svarīga.</w:t>
            </w:r>
          </w:p>
        </w:tc>
      </w:tr>
      <w:tr w:rsidR="00845C23" w:rsidRPr="00F8673D" w14:paraId="42FC8F98" w14:textId="77777777" w:rsidTr="00B356C5">
        <w:tc>
          <w:tcPr>
            <w:tcW w:w="426" w:type="dxa"/>
          </w:tcPr>
          <w:p w14:paraId="2D3D7B1F" w14:textId="77777777" w:rsidR="00845C23" w:rsidRPr="00962916" w:rsidRDefault="00845C23" w:rsidP="00B356C5">
            <w:pPr>
              <w:rPr>
                <w:rFonts w:ascii="Arial" w:hAnsi="Arial" w:cs="Arial"/>
                <w:sz w:val="22"/>
                <w:szCs w:val="22"/>
                <w:lang w:val="lv-LV"/>
              </w:rPr>
            </w:pPr>
            <w:r>
              <w:rPr>
                <w:rFonts w:ascii="Arial" w:hAnsi="Arial" w:cs="Arial"/>
                <w:sz w:val="22"/>
                <w:szCs w:val="22"/>
                <w:lang w:val="lv-LV"/>
              </w:rPr>
              <w:t>2.</w:t>
            </w:r>
          </w:p>
        </w:tc>
        <w:tc>
          <w:tcPr>
            <w:tcW w:w="4819" w:type="dxa"/>
          </w:tcPr>
          <w:p w14:paraId="2AA91ED1" w14:textId="77777777" w:rsidR="00845C23" w:rsidRPr="00962916" w:rsidRDefault="00845C23" w:rsidP="00B356C5">
            <w:pPr>
              <w:ind w:firstLine="741"/>
              <w:rPr>
                <w:rFonts w:ascii="Arial" w:hAnsi="Arial" w:cs="Arial"/>
                <w:sz w:val="22"/>
                <w:szCs w:val="22"/>
                <w:lang w:val="lv-LV"/>
              </w:rPr>
            </w:pPr>
            <w:r w:rsidRPr="00962916">
              <w:rPr>
                <w:rFonts w:ascii="Arial" w:hAnsi="Arial" w:cs="Arial"/>
                <w:sz w:val="22"/>
                <w:szCs w:val="22"/>
                <w:lang w:val="lv-LV"/>
              </w:rPr>
              <w:t>Tehniskā specifikācijā kancelejas preces 3.grupa 1. pozīcija ir identiska ar 4.grupas 1.pozīciju.  Šī pozīcija ļoti ietekmē kopējo piedāvājumu, tāpēc vēlētos precizēt vai nav radusies kļūda?</w:t>
            </w:r>
          </w:p>
        </w:tc>
        <w:tc>
          <w:tcPr>
            <w:tcW w:w="4678" w:type="dxa"/>
          </w:tcPr>
          <w:p w14:paraId="35100780" w14:textId="77777777" w:rsidR="00845C23" w:rsidRPr="00962916" w:rsidRDefault="00845C23" w:rsidP="00B356C5">
            <w:pPr>
              <w:jc w:val="both"/>
              <w:rPr>
                <w:rFonts w:ascii="Arial" w:hAnsi="Arial" w:cs="Arial"/>
                <w:sz w:val="22"/>
                <w:szCs w:val="22"/>
                <w:lang w:val="lv-LV"/>
              </w:rPr>
            </w:pPr>
            <w:r>
              <w:rPr>
                <w:rFonts w:ascii="Arial" w:hAnsi="Arial" w:cs="Arial"/>
                <w:sz w:val="22"/>
                <w:szCs w:val="22"/>
                <w:lang w:val="lv-LV"/>
              </w:rPr>
              <w:t>Sarunu procedūras nolikuma Tehniskajā specifikācijā 4.grupa 1.pozīcija tiek izslēgta. Skat. sarunu procedūras nolikuma Grozījumus Nr.1</w:t>
            </w:r>
          </w:p>
        </w:tc>
      </w:tr>
    </w:tbl>
    <w:p w14:paraId="6E1D88BE" w14:textId="77777777" w:rsidR="00845C23" w:rsidRPr="00962916" w:rsidRDefault="00845C23" w:rsidP="00845C23">
      <w:pPr>
        <w:rPr>
          <w:lang w:val="lv-LV"/>
        </w:rPr>
      </w:pPr>
    </w:p>
    <w:p w14:paraId="07CA9543" w14:textId="77777777" w:rsidR="00962916" w:rsidRPr="00845C23" w:rsidRDefault="00962916" w:rsidP="00845C23">
      <w:bookmarkStart w:id="0" w:name="_GoBack"/>
      <w:bookmarkEnd w:id="0"/>
    </w:p>
    <w:sectPr w:rsidR="00962916" w:rsidRPr="00845C23" w:rsidSect="009629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31"/>
    <w:rsid w:val="005D4534"/>
    <w:rsid w:val="00845C23"/>
    <w:rsid w:val="00962916"/>
    <w:rsid w:val="00EE2C3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61D4"/>
  <w15:chartTrackingRefBased/>
  <w15:docId w15:val="{CE170259-36C4-42E0-8E4F-AF9A6314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lo-L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916"/>
    <w:pPr>
      <w:spacing w:after="0" w:line="240" w:lineRule="auto"/>
    </w:pPr>
    <w:rPr>
      <w:rFonts w:ascii="Times New Roman" w:eastAsia="Times New Roman" w:hAnsi="Times New Roman" w:cs="Times New Roman"/>
      <w:sz w:val="20"/>
      <w:szCs w:val="20"/>
      <w:lang w:val="en-US" w:eastAsia="lv-LV" w:bidi="ar-SA"/>
    </w:rPr>
  </w:style>
  <w:style w:type="paragraph" w:styleId="Heading1">
    <w:name w:val="heading 1"/>
    <w:basedOn w:val="Normal"/>
    <w:next w:val="Normal"/>
    <w:link w:val="Heading1Char"/>
    <w:qFormat/>
    <w:rsid w:val="00962916"/>
    <w:pPr>
      <w:keepNext/>
      <w:outlineLvl w:val="0"/>
    </w:pPr>
    <w:rPr>
      <w:sz w:val="24"/>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916"/>
    <w:rPr>
      <w:rFonts w:ascii="Times New Roman" w:eastAsia="Times New Roman" w:hAnsi="Times New Roman" w:cs="Times New Roman"/>
      <w:sz w:val="24"/>
      <w:szCs w:val="20"/>
      <w:lang w:bidi="ar-SA"/>
    </w:rPr>
  </w:style>
  <w:style w:type="paragraph" w:customStyle="1" w:styleId="Default">
    <w:name w:val="Default"/>
    <w:rsid w:val="00962916"/>
    <w:pPr>
      <w:autoSpaceDE w:val="0"/>
      <w:autoSpaceDN w:val="0"/>
      <w:adjustRightInd w:val="0"/>
      <w:spacing w:after="0" w:line="240" w:lineRule="auto"/>
    </w:pPr>
    <w:rPr>
      <w:rFonts w:ascii="Times New Roman" w:hAnsi="Times New Roman" w:cs="Times New Roman"/>
      <w:color w:val="000000"/>
      <w:sz w:val="24"/>
      <w:szCs w:val="24"/>
      <w:lang w:val="en-US" w:bidi="ar-SA"/>
    </w:rPr>
  </w:style>
  <w:style w:type="table" w:styleId="TableGrid">
    <w:name w:val="Table Grid"/>
    <w:basedOn w:val="TableNormal"/>
    <w:uiPriority w:val="39"/>
    <w:rsid w:val="00962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29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16"/>
    <w:rPr>
      <w:rFonts w:ascii="Segoe UI" w:eastAsia="Times New Roman" w:hAnsi="Segoe UI" w:cs="Segoe UI"/>
      <w:sz w:val="18"/>
      <w:szCs w:val="18"/>
      <w:lang w:val="en-US"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2768</Words>
  <Characters>1579</Characters>
  <Application>Microsoft Office Word</Application>
  <DocSecurity>0</DocSecurity>
  <Lines>13</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4</cp:revision>
  <dcterms:created xsi:type="dcterms:W3CDTF">2021-08-17T12:09:00Z</dcterms:created>
  <dcterms:modified xsi:type="dcterms:W3CDTF">2021-08-20T08:33:00Z</dcterms:modified>
</cp:coreProperties>
</file>