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reģ.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5EAAD6CF"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CA0FA1">
        <w:rPr>
          <w:rFonts w:ascii="Arial" w:hAnsi="Arial" w:cs="Arial"/>
          <w:color w:val="212529"/>
          <w:sz w:val="20"/>
          <w:szCs w:val="20"/>
          <w:shd w:val="clear" w:color="auto" w:fill="FFFFFF"/>
        </w:rPr>
        <w:t>Gultņu i</w:t>
      </w:r>
      <w:r w:rsidR="002A186B" w:rsidRPr="002A186B">
        <w:rPr>
          <w:rFonts w:ascii="Arial" w:hAnsi="Arial" w:cs="Arial"/>
          <w:color w:val="212529"/>
          <w:sz w:val="20"/>
          <w:szCs w:val="20"/>
          <w:shd w:val="clear" w:color="auto" w:fill="FFFFFF"/>
        </w:rPr>
        <w:t>ndukcijas sildītāja BETEX BLF 202 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477F11">
        <w:rPr>
          <w:rFonts w:ascii="Arial" w:eastAsiaTheme="minorHAnsi" w:hAnsi="Arial" w:cs="Arial"/>
          <w:bCs/>
          <w:sz w:val="20"/>
          <w:szCs w:val="20"/>
        </w:rPr>
        <w:t>5</w:t>
      </w:r>
      <w:r w:rsidR="002A186B">
        <w:rPr>
          <w:rFonts w:ascii="Arial" w:eastAsiaTheme="minorHAnsi" w:hAnsi="Arial" w:cs="Arial"/>
          <w:bCs/>
          <w:sz w:val="20"/>
          <w:szCs w:val="20"/>
        </w:rPr>
        <w:t>4</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6057F809"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hyperlink r:id="rId5" w:history="1">
        <w:r w:rsidRPr="00B90F92">
          <w:rPr>
            <w:rStyle w:val="Hyperlink"/>
            <w:rFonts w:ascii="Arial" w:hAnsi="Arial" w:cs="Arial"/>
            <w:sz w:val="20"/>
            <w:szCs w:val="20"/>
            <w:lang w:val="da-DK"/>
          </w:rPr>
          <w:t>egita.erdmane@ldz</w:t>
        </w:r>
      </w:hyperlink>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2A186B">
        <w:rPr>
          <w:rFonts w:ascii="Arial" w:hAnsi="Arial" w:cs="Arial"/>
          <w:b/>
          <w:bCs/>
          <w:sz w:val="20"/>
          <w:szCs w:val="20"/>
          <w:lang w:val="da-DK"/>
        </w:rPr>
        <w:t>16</w:t>
      </w:r>
      <w:r>
        <w:rPr>
          <w:rFonts w:ascii="Arial" w:hAnsi="Arial" w:cs="Arial"/>
          <w:b/>
          <w:bCs/>
          <w:sz w:val="20"/>
          <w:szCs w:val="20"/>
          <w:lang w:val="da-DK"/>
        </w:rPr>
        <w:t>.</w:t>
      </w:r>
      <w:r w:rsidR="00477F11">
        <w:rPr>
          <w:rFonts w:ascii="Arial" w:hAnsi="Arial" w:cs="Arial"/>
          <w:b/>
          <w:bCs/>
          <w:sz w:val="20"/>
          <w:szCs w:val="20"/>
          <w:lang w:val="da-DK"/>
        </w:rPr>
        <w:t>augustam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F13E5A">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Mercell sistēmu un piedāvājumu iesniegšanas procesu, lūdzu sazināties ar Mercell atbalsta dienestu pa tālr. 27763529 vai e-pastu </w:t>
      </w:r>
      <w:hyperlink r:id="rId6"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62400F1C"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r w:rsidR="00CA0FED">
        <w:rPr>
          <w:rFonts w:ascii="Arial" w:eastAsiaTheme="minorHAnsi" w:hAnsi="Arial" w:cs="Arial"/>
          <w:sz w:val="20"/>
          <w:szCs w:val="20"/>
        </w:rPr>
        <w:t xml:space="preserve"> un </w:t>
      </w:r>
      <w:r w:rsidR="00CA0FED" w:rsidRPr="00CA0FED">
        <w:rPr>
          <w:rFonts w:ascii="Arial" w:eastAsiaTheme="minorHAnsi" w:hAnsi="Arial" w:cs="Arial"/>
          <w:b/>
          <w:bCs/>
          <w:sz w:val="20"/>
          <w:szCs w:val="20"/>
          <w:u w:val="single"/>
        </w:rPr>
        <w:t>CE sertifikātu</w:t>
      </w:r>
      <w:r w:rsidR="00CA0FED">
        <w:rPr>
          <w:rFonts w:ascii="Arial" w:eastAsiaTheme="minorHAnsi" w:hAnsi="Arial" w:cs="Arial"/>
          <w:sz w:val="20"/>
          <w:szCs w:val="20"/>
        </w:rPr>
        <w:t>.</w:t>
      </w:r>
    </w:p>
    <w:p w14:paraId="5368CE76" w14:textId="2BB70212"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477F11">
        <w:rPr>
          <w:rFonts w:ascii="Arial" w:eastAsiaTheme="minorHAnsi" w:hAnsi="Arial" w:cs="Arial"/>
          <w:sz w:val="20"/>
          <w:szCs w:val="20"/>
        </w:rPr>
        <w:t xml:space="preserve">pēc iespējas ātrāk, bet ne vēlāk kā </w:t>
      </w:r>
      <w:r w:rsidR="002A186B">
        <w:rPr>
          <w:rFonts w:ascii="Arial" w:eastAsiaTheme="minorHAnsi" w:hAnsi="Arial" w:cs="Arial"/>
          <w:sz w:val="20"/>
          <w:szCs w:val="20"/>
        </w:rPr>
        <w:t>3</w:t>
      </w:r>
      <w:r w:rsidR="005F26BC" w:rsidRPr="0028164C">
        <w:rPr>
          <w:rFonts w:ascii="Arial" w:eastAsiaTheme="minorHAnsi" w:hAnsi="Arial" w:cs="Arial"/>
          <w:sz w:val="20"/>
          <w:szCs w:val="20"/>
        </w:rPr>
        <w:t>0 (</w:t>
      </w:r>
      <w:r w:rsidR="002A186B">
        <w:rPr>
          <w:rFonts w:ascii="Arial" w:eastAsiaTheme="minorHAnsi" w:hAnsi="Arial" w:cs="Arial"/>
          <w:sz w:val="20"/>
          <w:szCs w:val="20"/>
        </w:rPr>
        <w:t>trīs</w:t>
      </w:r>
      <w:r w:rsidR="005F26BC" w:rsidRPr="0028164C">
        <w:rPr>
          <w:rFonts w:ascii="Arial" w:eastAsiaTheme="minorHAnsi" w:hAnsi="Arial" w:cs="Arial"/>
          <w:sz w:val="20"/>
          <w:szCs w:val="20"/>
        </w:rPr>
        <w:t>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220E5DE0"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13465AB9"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CA0FA1">
        <w:rPr>
          <w:rFonts w:ascii="Arial" w:hAnsi="Arial" w:cs="Arial"/>
          <w:color w:val="212529"/>
          <w:sz w:val="20"/>
          <w:szCs w:val="20"/>
          <w:shd w:val="clear" w:color="auto" w:fill="FFFFFF"/>
        </w:rPr>
        <w:t>Gultņu i</w:t>
      </w:r>
      <w:r w:rsidR="002A186B" w:rsidRPr="002A186B">
        <w:rPr>
          <w:rFonts w:ascii="Arial" w:hAnsi="Arial" w:cs="Arial"/>
          <w:color w:val="212529"/>
          <w:sz w:val="20"/>
          <w:szCs w:val="20"/>
          <w:shd w:val="clear" w:color="auto" w:fill="FFFFFF"/>
        </w:rPr>
        <w:t>ndukcijas sildītāja BETEX BLF 202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356" w:type="dxa"/>
        <w:tblLayout w:type="fixed"/>
        <w:tblLook w:val="04A0" w:firstRow="1" w:lastRow="0" w:firstColumn="1" w:lastColumn="0" w:noHBand="0" w:noVBand="1"/>
      </w:tblPr>
      <w:tblGrid>
        <w:gridCol w:w="562"/>
        <w:gridCol w:w="4967"/>
        <w:gridCol w:w="709"/>
        <w:gridCol w:w="1417"/>
        <w:gridCol w:w="1701"/>
      </w:tblGrid>
      <w:tr w:rsidR="002A186B" w:rsidRPr="0001616B" w14:paraId="7C8E5D3B" w14:textId="77777777" w:rsidTr="002A186B">
        <w:trPr>
          <w:cantSplit/>
          <w:trHeight w:val="1408"/>
        </w:trPr>
        <w:tc>
          <w:tcPr>
            <w:tcW w:w="562" w:type="dxa"/>
            <w:vAlign w:val="center"/>
          </w:tcPr>
          <w:p w14:paraId="60893ECE" w14:textId="18C14511" w:rsidR="002A186B" w:rsidRPr="0001616B" w:rsidRDefault="002A186B"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967" w:type="dxa"/>
            <w:vAlign w:val="center"/>
          </w:tcPr>
          <w:p w14:paraId="0C3B3C81" w14:textId="31D88E67" w:rsidR="002A186B" w:rsidRPr="0001616B" w:rsidRDefault="002A186B"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Pr>
                <w:rFonts w:ascii="Arial" w:eastAsiaTheme="minorHAnsi" w:hAnsi="Arial" w:cs="Arial"/>
                <w:b/>
                <w:sz w:val="20"/>
                <w:szCs w:val="20"/>
              </w:rPr>
              <w:t>, rasējuma numurs</w:t>
            </w:r>
          </w:p>
        </w:tc>
        <w:tc>
          <w:tcPr>
            <w:tcW w:w="709" w:type="dxa"/>
            <w:textDirection w:val="btLr"/>
            <w:vAlign w:val="center"/>
          </w:tcPr>
          <w:p w14:paraId="53B77CE0" w14:textId="04D4139E" w:rsidR="002A186B" w:rsidRPr="0001616B" w:rsidRDefault="002A186B"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Pr="00B95D4C">
              <w:rPr>
                <w:rFonts w:ascii="Arial" w:eastAsiaTheme="minorHAnsi" w:hAnsi="Arial" w:cs="Arial"/>
                <w:b/>
                <w:color w:val="FF0000"/>
                <w:sz w:val="20"/>
                <w:szCs w:val="20"/>
              </w:rPr>
              <w:t>**</w:t>
            </w:r>
          </w:p>
        </w:tc>
        <w:tc>
          <w:tcPr>
            <w:tcW w:w="1417" w:type="dxa"/>
            <w:vAlign w:val="center"/>
          </w:tcPr>
          <w:p w14:paraId="413E8719" w14:textId="77777777" w:rsidR="002A186B" w:rsidRPr="0001616B" w:rsidRDefault="002A186B"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2A186B" w:rsidRDefault="002A186B"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Pr>
                <w:rFonts w:ascii="Arial" w:eastAsiaTheme="minorHAnsi" w:hAnsi="Arial" w:cs="Arial"/>
                <w:b/>
                <w:i/>
                <w:sz w:val="20"/>
                <w:szCs w:val="20"/>
              </w:rPr>
              <w:t xml:space="preserve"> </w:t>
            </w:r>
          </w:p>
          <w:p w14:paraId="16D1AF3D" w14:textId="2ABC4947" w:rsidR="002A186B" w:rsidRPr="0001616B" w:rsidRDefault="002A186B"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701" w:type="dxa"/>
            <w:vAlign w:val="center"/>
          </w:tcPr>
          <w:p w14:paraId="16CE1F2A" w14:textId="52BA66C4" w:rsidR="002A186B" w:rsidRPr="0001616B" w:rsidRDefault="002A186B"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 (valsts) un muitas kods</w:t>
            </w:r>
            <w:r w:rsidRPr="00B95D4C">
              <w:rPr>
                <w:rFonts w:ascii="Arial" w:eastAsiaTheme="minorHAnsi" w:hAnsi="Arial" w:cs="Arial"/>
                <w:b/>
                <w:color w:val="FF0000"/>
                <w:sz w:val="20"/>
                <w:szCs w:val="20"/>
              </w:rPr>
              <w:t>*</w:t>
            </w:r>
          </w:p>
        </w:tc>
      </w:tr>
      <w:tr w:rsidR="002A186B" w:rsidRPr="0001616B" w14:paraId="70733A27" w14:textId="77777777" w:rsidTr="002A186B">
        <w:trPr>
          <w:trHeight w:val="841"/>
        </w:trPr>
        <w:tc>
          <w:tcPr>
            <w:tcW w:w="562" w:type="dxa"/>
            <w:vAlign w:val="center"/>
          </w:tcPr>
          <w:p w14:paraId="0CF6D636" w14:textId="61999725" w:rsidR="002A186B" w:rsidRPr="0001616B" w:rsidRDefault="002A186B"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967" w:type="dxa"/>
            <w:vAlign w:val="center"/>
          </w:tcPr>
          <w:p w14:paraId="4B4C64AE" w14:textId="0F965BBB" w:rsidR="002A186B" w:rsidRPr="00BD6FD4" w:rsidRDefault="002A186B"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Gultņu i</w:t>
            </w:r>
            <w:r w:rsidRPr="002A186B">
              <w:rPr>
                <w:rFonts w:ascii="Arial" w:eastAsiaTheme="minorHAnsi" w:hAnsi="Arial" w:cs="Arial"/>
                <w:sz w:val="20"/>
                <w:szCs w:val="20"/>
              </w:rPr>
              <w:t xml:space="preserve">ndukcijas sildītāja BETEX BLF 202 </w:t>
            </w:r>
            <w:r>
              <w:rPr>
                <w:rFonts w:ascii="Arial" w:eastAsiaTheme="minorHAnsi" w:hAnsi="Arial" w:cs="Arial"/>
                <w:sz w:val="20"/>
                <w:szCs w:val="20"/>
              </w:rPr>
              <w:t>ar 2 magnētiskā serdeņa jūgiem, 230 V</w:t>
            </w:r>
          </w:p>
        </w:tc>
        <w:tc>
          <w:tcPr>
            <w:tcW w:w="709" w:type="dxa"/>
            <w:vAlign w:val="center"/>
          </w:tcPr>
          <w:p w14:paraId="5FB0E715" w14:textId="0C893096" w:rsidR="002A186B" w:rsidRPr="0001616B" w:rsidRDefault="002A186B"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417" w:type="dxa"/>
            <w:vAlign w:val="center"/>
          </w:tcPr>
          <w:p w14:paraId="209E05E5" w14:textId="77777777" w:rsidR="002A186B" w:rsidRPr="0001616B" w:rsidRDefault="002A186B"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2A186B" w:rsidRPr="0001616B" w:rsidRDefault="002A186B" w:rsidP="00B95D4C">
            <w:pPr>
              <w:tabs>
                <w:tab w:val="left" w:pos="3261"/>
                <w:tab w:val="left" w:pos="3544"/>
                <w:tab w:val="right" w:pos="9072"/>
              </w:tabs>
              <w:jc w:val="center"/>
              <w:rPr>
                <w:rFonts w:ascii="Arial" w:eastAsiaTheme="minorHAnsi" w:hAnsi="Arial" w:cs="Arial"/>
                <w:sz w:val="20"/>
                <w:szCs w:val="20"/>
              </w:rPr>
            </w:pPr>
          </w:p>
        </w:tc>
      </w:tr>
      <w:tr w:rsidR="002A186B" w:rsidRPr="0001616B" w14:paraId="36851918" w14:textId="77777777" w:rsidTr="002A186B">
        <w:trPr>
          <w:trHeight w:val="841"/>
        </w:trPr>
        <w:tc>
          <w:tcPr>
            <w:tcW w:w="562" w:type="dxa"/>
            <w:vAlign w:val="center"/>
          </w:tcPr>
          <w:p w14:paraId="2DB87598" w14:textId="29606162" w:rsidR="002A186B" w:rsidRDefault="002A186B"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4967" w:type="dxa"/>
            <w:vAlign w:val="center"/>
          </w:tcPr>
          <w:p w14:paraId="6C21829F" w14:textId="77777777" w:rsidR="002A186B" w:rsidRDefault="002A186B" w:rsidP="00BD6FD4">
            <w:pPr>
              <w:tabs>
                <w:tab w:val="left" w:pos="3261"/>
                <w:tab w:val="left" w:pos="3544"/>
                <w:tab w:val="right" w:pos="9072"/>
              </w:tabs>
              <w:rPr>
                <w:rFonts w:ascii="Arial" w:eastAsia="Calibri" w:hAnsi="Arial" w:cs="Arial"/>
                <w:color w:val="000000"/>
                <w:sz w:val="20"/>
                <w:szCs w:val="18"/>
              </w:rPr>
            </w:pPr>
            <w:r w:rsidRPr="002A186B">
              <w:rPr>
                <w:rFonts w:ascii="Arial" w:eastAsia="Calibri" w:hAnsi="Arial" w:cs="Arial"/>
                <w:color w:val="000000"/>
                <w:sz w:val="20"/>
                <w:szCs w:val="18"/>
              </w:rPr>
              <w:t xml:space="preserve">Magnētiskais temperatūras sensors, </w:t>
            </w:r>
          </w:p>
          <w:p w14:paraId="1884042A" w14:textId="3C88EE0F" w:rsidR="002A186B" w:rsidRPr="002A186B" w:rsidRDefault="002A186B" w:rsidP="00BD6FD4">
            <w:pPr>
              <w:tabs>
                <w:tab w:val="left" w:pos="3261"/>
                <w:tab w:val="left" w:pos="3544"/>
                <w:tab w:val="right" w:pos="9072"/>
              </w:tabs>
              <w:rPr>
                <w:rFonts w:ascii="Arial" w:eastAsiaTheme="minorHAnsi" w:hAnsi="Arial" w:cs="Arial"/>
                <w:sz w:val="20"/>
                <w:szCs w:val="18"/>
              </w:rPr>
            </w:pPr>
            <w:r w:rsidRPr="002A186B">
              <w:rPr>
                <w:rFonts w:ascii="Arial" w:eastAsia="Calibri" w:hAnsi="Arial" w:cs="Arial"/>
                <w:color w:val="000000"/>
                <w:sz w:val="20"/>
                <w:szCs w:val="18"/>
              </w:rPr>
              <w:t>max 240°C, 2.0 m</w:t>
            </w:r>
          </w:p>
        </w:tc>
        <w:tc>
          <w:tcPr>
            <w:tcW w:w="709" w:type="dxa"/>
            <w:vAlign w:val="center"/>
          </w:tcPr>
          <w:p w14:paraId="1BA07EBA" w14:textId="1649D440" w:rsidR="002A186B" w:rsidRDefault="002A186B"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417" w:type="dxa"/>
            <w:vAlign w:val="center"/>
          </w:tcPr>
          <w:p w14:paraId="772A5346" w14:textId="77777777" w:rsidR="002A186B" w:rsidRPr="0001616B" w:rsidRDefault="002A186B"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2A9879CB" w14:textId="77777777" w:rsidR="002A186B" w:rsidRPr="0001616B" w:rsidRDefault="002A186B"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EUR-Lex - 32021R1832 - EN - EUR-Lex (europa.eu)).</w:t>
      </w:r>
    </w:p>
    <w:p w14:paraId="5F5A84A2" w14:textId="0F94257C"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w:t>
      </w:r>
      <w:r w:rsidR="00477F11">
        <w:rPr>
          <w:rFonts w:ascii="Arial" w:eastAsia="Calibri" w:hAnsi="Arial" w:cs="Arial"/>
          <w:i/>
          <w:sz w:val="18"/>
          <w:szCs w:val="18"/>
        </w:rPr>
        <w:t xml:space="preserve">. </w:t>
      </w:r>
      <w:r w:rsidRPr="00253FB1">
        <w:rPr>
          <w:rFonts w:ascii="Arial" w:eastAsia="Calibri" w:hAnsi="Arial" w:cs="Arial"/>
          <w:i/>
          <w:sz w:val="18"/>
          <w:szCs w:val="18"/>
        </w:rPr>
        <w:t xml:space="preserve">Gadījumā, ja prece jau ir pieejama pretendenta noliktavā, pretendentam par šo preci arī jāiesniedz </w:t>
      </w:r>
      <w:r w:rsidR="00477F11" w:rsidRPr="00253FB1">
        <w:rPr>
          <w:rFonts w:ascii="Arial" w:eastAsia="Calibri" w:hAnsi="Arial" w:cs="Arial"/>
          <w:i/>
          <w:sz w:val="18"/>
          <w:szCs w:val="18"/>
        </w:rPr>
        <w:t xml:space="preserve">atbilstoši </w:t>
      </w:r>
      <w:r w:rsidR="00477F11">
        <w:rPr>
          <w:rFonts w:ascii="Arial" w:eastAsia="Calibri" w:hAnsi="Arial" w:cs="Arial"/>
          <w:i/>
          <w:sz w:val="18"/>
          <w:szCs w:val="18"/>
        </w:rPr>
        <w:t xml:space="preserve">tehniskie </w:t>
      </w:r>
      <w:r w:rsidRPr="00253FB1">
        <w:rPr>
          <w:rFonts w:ascii="Arial" w:eastAsia="Calibri" w:hAnsi="Arial" w:cs="Arial"/>
          <w:i/>
          <w:sz w:val="18"/>
          <w:szCs w:val="18"/>
        </w:rPr>
        <w:t>dokumenti</w:t>
      </w:r>
      <w:r>
        <w:rPr>
          <w:rFonts w:ascii="Arial" w:eastAsia="Calibri" w:hAnsi="Arial" w:cs="Arial"/>
          <w:i/>
          <w:sz w:val="18"/>
          <w:szCs w:val="18"/>
        </w:rPr>
        <w:t xml:space="preserve">, kā arī </w:t>
      </w:r>
      <w:r w:rsidR="00477F11">
        <w:rPr>
          <w:rFonts w:ascii="Arial" w:eastAsia="Calibri" w:hAnsi="Arial" w:cs="Arial"/>
          <w:i/>
          <w:sz w:val="18"/>
          <w:szCs w:val="18"/>
        </w:rPr>
        <w:t>jā</w:t>
      </w:r>
      <w:r>
        <w:rPr>
          <w:rFonts w:ascii="Arial" w:eastAsia="Calibri" w:hAnsi="Arial" w:cs="Arial"/>
          <w:i/>
          <w:sz w:val="18"/>
          <w:szCs w:val="18"/>
        </w:rPr>
        <w:t>norāda preces ražošanas gad</w:t>
      </w:r>
      <w:r w:rsidR="00477F11">
        <w:rPr>
          <w:rFonts w:ascii="Arial" w:eastAsia="Calibri" w:hAnsi="Arial" w:cs="Arial"/>
          <w:i/>
          <w:sz w:val="18"/>
          <w:szCs w:val="18"/>
        </w:rPr>
        <w:t>s</w:t>
      </w:r>
      <w:r>
        <w:rPr>
          <w:rFonts w:ascii="Arial" w:eastAsia="Calibri" w:hAnsi="Arial" w:cs="Arial"/>
          <w:i/>
          <w:sz w:val="18"/>
          <w:szCs w:val="18"/>
        </w:rPr>
        <w:t>.</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gita.erdmane@ld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3549</Words>
  <Characters>2024</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20</cp:revision>
  <cp:lastPrinted>2021-09-29T12:35:00Z</cp:lastPrinted>
  <dcterms:created xsi:type="dcterms:W3CDTF">2022-08-01T07:06:00Z</dcterms:created>
  <dcterms:modified xsi:type="dcterms:W3CDTF">2023-08-09T14:12:00Z</dcterms:modified>
</cp:coreProperties>
</file>