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649A" w14:textId="77777777" w:rsidR="000B1B65" w:rsidRDefault="000B1B65" w:rsidP="000B1B65">
      <w:pPr>
        <w:pStyle w:val="Galvene"/>
        <w:rPr>
          <w:b/>
          <w:lang w:val="lv-LV"/>
        </w:rPr>
      </w:pPr>
    </w:p>
    <w:p w14:paraId="47D03C04" w14:textId="77777777" w:rsidR="000B1B65" w:rsidRDefault="000B1B65" w:rsidP="000B1B65">
      <w:pPr>
        <w:pStyle w:val="Galvene"/>
        <w:jc w:val="center"/>
        <w:rPr>
          <w:b/>
          <w:lang w:val="lv-LV"/>
        </w:rPr>
      </w:pPr>
    </w:p>
    <w:p w14:paraId="1A9B37A7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F07D54">
        <w:rPr>
          <w:rFonts w:ascii="Arial" w:hAnsi="Arial" w:cs="Arial"/>
          <w:b/>
          <w:sz w:val="21"/>
          <w:szCs w:val="21"/>
          <w:lang w:val="lv-LV"/>
        </w:rPr>
        <w:t>TEHNISKĀ SPECIFIKĀCIJA</w:t>
      </w:r>
    </w:p>
    <w:p w14:paraId="4FB2BF1C" w14:textId="77777777" w:rsidR="000B1B65" w:rsidRPr="00F07D54" w:rsidRDefault="000B1B65" w:rsidP="000B1B65">
      <w:pPr>
        <w:pStyle w:val="Galvene"/>
        <w:jc w:val="center"/>
        <w:rPr>
          <w:rFonts w:ascii="Arial" w:hAnsi="Arial" w:cs="Arial"/>
          <w:i/>
          <w:sz w:val="21"/>
          <w:szCs w:val="21"/>
          <w:lang w:val="lv-LV"/>
        </w:rPr>
      </w:pPr>
      <w:r w:rsidRPr="00F07D54">
        <w:rPr>
          <w:rFonts w:ascii="Arial" w:hAnsi="Arial" w:cs="Arial"/>
          <w:i/>
          <w:sz w:val="21"/>
          <w:szCs w:val="21"/>
          <w:lang w:val="lv-LV"/>
        </w:rPr>
        <w:t>(tehniskais piedāvājums)</w:t>
      </w:r>
    </w:p>
    <w:p w14:paraId="175A6CEA" w14:textId="77777777" w:rsidR="000B1B65" w:rsidRPr="00F07D54" w:rsidRDefault="000B1B65" w:rsidP="000B1B65">
      <w:pPr>
        <w:ind w:right="-2"/>
        <w:jc w:val="both"/>
        <w:rPr>
          <w:rFonts w:ascii="Arial" w:hAnsi="Arial" w:cs="Arial"/>
          <w:bCs/>
          <w:sz w:val="21"/>
          <w:szCs w:val="21"/>
          <w:highlight w:val="yellow"/>
          <w:u w:val="single"/>
          <w:lang w:val="lv-LV"/>
        </w:rPr>
      </w:pPr>
    </w:p>
    <w:p w14:paraId="03111B63" w14:textId="3F99B02B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Pasūtītājs uzdod un Izpildītājs uzņemas pagatavot un piegādāt silto ēdienu - kompleksās pusdienas: zupu, otro ēdienu ar gaļu, 2 (divas) maizes šķēles, dzērienu un smalkmaizīti (turpmāk – Ēdiens) Pasūtītāja struktūrvienības - VAS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>Latvijas dzelzceļš” Sliežu ceļu pārvaldes darbiniekiem sliežu ceļu remontdarbu laikā (turpmāk - Tehnoloģiskais logs), savstarpēji saskaņotajos datumos, laikā un pēc saskaņotām ēdienkartēm (turpmāk viss kopā saukts – Pakalpojums).</w:t>
      </w:r>
    </w:p>
    <w:p w14:paraId="4254584A" w14:textId="06EBF7E0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Pakalpojuma sniegšanas termiņš ir no līguma noslēgšanas brīža līdz 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2022.</w:t>
      </w:r>
      <w:r w:rsidR="00F07D54">
        <w:rPr>
          <w:rFonts w:ascii="Arial" w:hAnsi="Arial" w:cs="Arial"/>
          <w:b/>
          <w:sz w:val="21"/>
          <w:szCs w:val="21"/>
          <w:u w:val="single"/>
          <w:lang w:val="lv-LV"/>
        </w:rPr>
        <w:t> 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gada 30.</w:t>
      </w:r>
      <w:r w:rsidR="00F07D54">
        <w:rPr>
          <w:rFonts w:ascii="Arial" w:hAnsi="Arial" w:cs="Arial"/>
          <w:b/>
          <w:sz w:val="21"/>
          <w:szCs w:val="21"/>
          <w:u w:val="single"/>
          <w:lang w:val="lv-LV"/>
        </w:rPr>
        <w:t> </w:t>
      </w:r>
      <w:r w:rsidRPr="00F07D54">
        <w:rPr>
          <w:rFonts w:ascii="Arial" w:hAnsi="Arial" w:cs="Arial"/>
          <w:b/>
          <w:sz w:val="21"/>
          <w:szCs w:val="21"/>
          <w:u w:val="single"/>
          <w:lang w:val="lv-LV"/>
        </w:rPr>
        <w:t>decembrim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vai līdz brīdim, kad agrāk par noteikto datumu sniegtā Pakalpojuma kopējā vērtība EUR (bez PVN) sasniedz noslēgtā līguma plānoto summu </w:t>
      </w:r>
      <w:r w:rsidRPr="00F07D54">
        <w:rPr>
          <w:rFonts w:ascii="Arial" w:hAnsi="Arial" w:cs="Arial"/>
          <w:i/>
          <w:sz w:val="21"/>
          <w:szCs w:val="21"/>
          <w:lang w:val="lv-LV"/>
        </w:rPr>
        <w:t>(saskaņā ar attiecīgo sarunu procedūras priekšmeta daļas reģionu)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38CBF8FC" w14:textId="123CC5C9" w:rsidR="000B1B65" w:rsidRPr="00F07D54" w:rsidRDefault="000B1B65" w:rsidP="00F07D54">
      <w:pPr>
        <w:ind w:firstLine="567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Pakalpojums tiek nodrošināts saskaņā ar </w:t>
      </w:r>
      <w:r w:rsidRPr="00F07D54">
        <w:rPr>
          <w:rFonts w:ascii="Arial" w:hAnsi="Arial" w:cs="Arial"/>
          <w:sz w:val="21"/>
          <w:szCs w:val="21"/>
          <w:lang w:val="lv-LV"/>
        </w:rPr>
        <w:t>Ministru kabineta 2017.</w:t>
      </w:r>
      <w:r w:rsidR="00F07D54">
        <w:rPr>
          <w:rFonts w:ascii="Arial" w:hAnsi="Arial" w:cs="Arial"/>
          <w:sz w:val="21"/>
          <w:szCs w:val="21"/>
          <w:lang w:val="lv-LV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/>
        </w:rPr>
        <w:t>gada 20.</w:t>
      </w:r>
      <w:r w:rsidR="00F07D54">
        <w:rPr>
          <w:rFonts w:ascii="Arial" w:hAnsi="Arial" w:cs="Arial"/>
          <w:sz w:val="21"/>
          <w:szCs w:val="21"/>
          <w:lang w:val="lv-LV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jūnija noteikumiem Nr.353 </w:t>
      </w:r>
      <w:r w:rsidR="00F07D54">
        <w:rPr>
          <w:rFonts w:ascii="Arial" w:hAnsi="Arial" w:cs="Arial"/>
          <w:sz w:val="21"/>
          <w:szCs w:val="21"/>
          <w:lang w:val="lv-LV"/>
        </w:rPr>
        <w:t>“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Prasības zaļajam publiskajam iepirkumam un to piemērošanas kārtība”, </w:t>
      </w:r>
      <w:r w:rsidRPr="00F07D54">
        <w:rPr>
          <w:rFonts w:ascii="Arial" w:hAnsi="Arial" w:cs="Arial"/>
          <w:sz w:val="21"/>
          <w:szCs w:val="21"/>
          <w:lang w:val="lv-LV" w:eastAsia="ar-SA"/>
        </w:rPr>
        <w:t>Ministru kabineta 2015.</w:t>
      </w:r>
      <w:r w:rsidR="00F07D54">
        <w:rPr>
          <w:rFonts w:ascii="Arial" w:hAnsi="Arial" w:cs="Arial"/>
          <w:sz w:val="21"/>
          <w:szCs w:val="21"/>
          <w:lang w:val="lv-LV" w:eastAsia="ar-SA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 w:eastAsia="ar-SA"/>
        </w:rPr>
        <w:t>gada 29.</w:t>
      </w:r>
      <w:r w:rsidR="00F07D54">
        <w:rPr>
          <w:rFonts w:ascii="Arial" w:hAnsi="Arial" w:cs="Arial"/>
          <w:sz w:val="21"/>
          <w:szCs w:val="21"/>
          <w:lang w:val="lv-LV" w:eastAsia="ar-SA"/>
        </w:rPr>
        <w:t xml:space="preserve"> 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septembra noteikumiem Nr.545 </w:t>
      </w:r>
      <w:r w:rsidR="00F07D54">
        <w:rPr>
          <w:rFonts w:ascii="Arial" w:hAnsi="Arial" w:cs="Arial"/>
          <w:sz w:val="21"/>
          <w:szCs w:val="21"/>
          <w:lang w:val="lv-LV" w:eastAsia="ar-SA"/>
        </w:rPr>
        <w:t>“</w:t>
      </w:r>
      <w:r w:rsidRPr="00F07D54">
        <w:rPr>
          <w:rFonts w:ascii="Arial" w:hAnsi="Arial" w:cs="Arial"/>
          <w:sz w:val="21"/>
          <w:szCs w:val="21"/>
          <w:lang w:val="lv-LV" w:eastAsia="ar-SA"/>
        </w:rPr>
        <w:t xml:space="preserve">Pārtikas apritē nodarbināto personu apmācības kārtība pārtikas higiēnas jomā”, Vides aizsardzības likumu,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Pārtikas aprites uzraudzības likumu, tai skaitā Eiropas Savienības regulām, kas regulē pārtikas apriti un uzraudzības kārtību un citiem spēkā esošiem normatīviem aktiem</w:t>
      </w:r>
      <w:r w:rsidRPr="00F07D54">
        <w:rPr>
          <w:rFonts w:ascii="Arial" w:hAnsi="Arial" w:cs="Arial"/>
          <w:sz w:val="21"/>
          <w:szCs w:val="21"/>
          <w:lang w:val="lv-LV"/>
        </w:rPr>
        <w:t>.</w:t>
      </w:r>
    </w:p>
    <w:p w14:paraId="041BADD2" w14:textId="77777777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Nepieciešamos produktus Ēdiena pagatavošanai nodrošina Izpildītājs, kurš tiek pagatavots Izpildītāja telpās, izmantojot Izpildītāja traukus, termosus u.c. inventāru. </w:t>
      </w:r>
    </w:p>
    <w:p w14:paraId="34E815B3" w14:textId="77777777" w:rsidR="000B1B65" w:rsidRPr="00F07D54" w:rsidRDefault="000B1B65" w:rsidP="00F07D54">
      <w:pPr>
        <w:ind w:firstLine="567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 xml:space="preserve">Izpildītājs ar savu autotransportu nodrošina Ēdiena piegādi uz Tehnoloģiskā loga vietu un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 xml:space="preserve">Ēdiena uzglabāšanas trauku nogādāšanu </w:t>
      </w:r>
      <w:r w:rsidRPr="00F07D54">
        <w:rPr>
          <w:rFonts w:ascii="Arial" w:hAnsi="Arial" w:cs="Arial"/>
          <w:sz w:val="21"/>
          <w:szCs w:val="21"/>
          <w:lang w:val="lv-LV"/>
        </w:rPr>
        <w:t>atpakaļ uz Ēdiena pagatavošanas vietu.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 Izpildītāja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rīcībā (īpašumā, valdījumā vai nomā, vai pamatojoties uz sadarbības līgumu) </w:t>
      </w: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jābūt vismaz 1 (vienam) transportlīdzeklim. Veicot Ēdiena piegādi Izpildītājs nodrošina tā aizsardzību pret iespējamo piesārņojumu (piemēram, netīrumiem, mikroorganismiem) un ievēro šādas prasības:</w:t>
      </w:r>
    </w:p>
    <w:p w14:paraId="469547A6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709" w:hanging="349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Ēdienu transportē iepakojumā vai konteineros, kas nodrošina aizsardzību pret piesārņojumu;</w:t>
      </w:r>
    </w:p>
    <w:p w14:paraId="67EA7A0D" w14:textId="29474009" w:rsidR="000B1B65" w:rsidRPr="00F07D54" w:rsidRDefault="00F07D54" w:rsidP="000B1B65">
      <w:pPr>
        <w:pStyle w:val="Sarakstarindkopa"/>
        <w:numPr>
          <w:ilvl w:val="1"/>
          <w:numId w:val="1"/>
        </w:numPr>
        <w:ind w:left="142" w:firstLine="218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T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>ermiski neapstrādātos un patēriņam gatavos pārtikas produktus, transportējot savstarpēji nodala;</w:t>
      </w:r>
    </w:p>
    <w:p w14:paraId="29594141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Ēdienu piegādā atsevišķos traukos - hermētiski noslēgtos termosos vai iesaiņotus, atbilstoši transportēšanas prasību standartiem;</w:t>
      </w:r>
    </w:p>
    <w:p w14:paraId="6029301B" w14:textId="4D3C3382" w:rsidR="000B1B65" w:rsidRPr="00F07D54" w:rsidRDefault="00F07D54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>
        <w:rPr>
          <w:rStyle w:val="FontStyle37"/>
          <w:rFonts w:ascii="Arial" w:hAnsi="Arial" w:cs="Arial"/>
          <w:sz w:val="21"/>
          <w:szCs w:val="21"/>
          <w:lang w:val="lv-LV"/>
        </w:rPr>
        <w:t>N</w:t>
      </w:r>
      <w:r w:rsidR="000B1B65" w:rsidRPr="00F07D54">
        <w:rPr>
          <w:rStyle w:val="FontStyle37"/>
          <w:rFonts w:ascii="Arial" w:hAnsi="Arial" w:cs="Arial"/>
          <w:sz w:val="21"/>
          <w:szCs w:val="21"/>
          <w:lang w:val="lv-LV"/>
        </w:rPr>
        <w:t>odrošina termosus vai citu piemērotu inventāru, kas nepieciešams silto pusdienu piegādei un atbilstošu iesaiņojuma materiālu, kas derīgs pārtikas produktiem;</w:t>
      </w:r>
    </w:p>
    <w:p w14:paraId="27275F51" w14:textId="77777777" w:rsidR="000B1B65" w:rsidRPr="00F07D54" w:rsidRDefault="000B1B65" w:rsidP="000B1B65">
      <w:pPr>
        <w:pStyle w:val="Sarakstarindkopa"/>
        <w:numPr>
          <w:ilvl w:val="1"/>
          <w:numId w:val="1"/>
        </w:numPr>
        <w:ind w:left="0" w:firstLine="360"/>
        <w:jc w:val="both"/>
        <w:rPr>
          <w:rStyle w:val="FontStyle37"/>
          <w:rFonts w:ascii="Arial" w:hAnsi="Arial" w:cs="Arial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>Ēdiena pagatavošanu un transportēšanu nodrošina atbilstoši Latvijas Republikas normatīvajos aktos noteiktajām sanitārajām, higiēnas un citu pārtikas produktu kvalitātei un ēdināšanas pakalpojumu sniegšanas noteiktajām prasībām.</w:t>
      </w:r>
    </w:p>
    <w:p w14:paraId="2C80624C" w14:textId="77777777" w:rsidR="000B1B65" w:rsidRPr="00F07D54" w:rsidRDefault="000B1B65" w:rsidP="000B1B65">
      <w:pPr>
        <w:ind w:firstLine="360"/>
        <w:jc w:val="both"/>
        <w:rPr>
          <w:rStyle w:val="FontStyle37"/>
          <w:rFonts w:ascii="Arial" w:hAnsi="Arial" w:cs="Arial"/>
          <w:color w:val="000000"/>
          <w:sz w:val="21"/>
          <w:szCs w:val="21"/>
          <w:lang w:val="lv-LV"/>
        </w:rPr>
      </w:pPr>
      <w:r w:rsidRPr="00F07D54">
        <w:rPr>
          <w:rStyle w:val="FontStyle37"/>
          <w:rFonts w:ascii="Arial" w:hAnsi="Arial" w:cs="Arial"/>
          <w:sz w:val="21"/>
          <w:szCs w:val="21"/>
          <w:lang w:val="lv-LV"/>
        </w:rPr>
        <w:t xml:space="preserve">Ēdienam jābūt pagatavotam piegādes dienā, ievērojot normatīvajos aktos noteiktās prasības produktu uzglabāšanai, marķējumam un realizācijai. Izmantotajiem produktiem jābūt svaigiem. 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Pasūtot Ēdienu, Pasūtītāja pilnvarotās personas vai viņu prombūtnes laikā viņu pienākumu izpildītājs ne mazāk kā 2 (divas) darba dienas iepriekš rakstiski saskaņo ar Izpildītāju Ēdiena piegādes vietu, datumu un laiku, darbinieku skaitu un ēdienkarti. </w:t>
      </w: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Izpildītājs, pēc radušās nepieciešamības, nodrošina Ēdiena piegādi uz vairākām Tehnoloģisko loga vietām vienas darba dienas laikā.</w:t>
      </w:r>
      <w:r w:rsidRPr="00F07D54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5447B61B" w14:textId="77777777" w:rsidR="000B1B65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color w:val="000000"/>
          <w:sz w:val="21"/>
          <w:szCs w:val="21"/>
          <w:lang w:val="lv-LV"/>
        </w:rPr>
        <w:t>Izpildītājs gādā par vienreizējiem lietošanas traukiem, Ēdienu uzglabāšanas termosiem un nozīmē savu darbinieku Ēdiena izsniegšanai.</w:t>
      </w:r>
    </w:p>
    <w:p w14:paraId="5E2201FF" w14:textId="77777777" w:rsidR="00624406" w:rsidRPr="00F07D54" w:rsidRDefault="000B1B65" w:rsidP="000B1B65">
      <w:pPr>
        <w:ind w:firstLine="360"/>
        <w:jc w:val="both"/>
        <w:rPr>
          <w:rFonts w:ascii="Arial" w:hAnsi="Arial" w:cs="Arial"/>
          <w:sz w:val="21"/>
          <w:szCs w:val="21"/>
          <w:lang w:val="lv-LV"/>
        </w:rPr>
      </w:pPr>
      <w:r w:rsidRPr="00F07D54">
        <w:rPr>
          <w:rFonts w:ascii="Arial" w:hAnsi="Arial" w:cs="Arial"/>
          <w:sz w:val="21"/>
          <w:szCs w:val="21"/>
          <w:lang w:val="lv-LV"/>
        </w:rPr>
        <w:t>Izpildītājs atbild par Ēdiena kvalitāti, atbilstību saskaņotajai ēdienkartei, pasūtītajam daudzumam un normatīvo aktu prasībām.</w:t>
      </w:r>
    </w:p>
    <w:sectPr w:rsidR="00624406" w:rsidRPr="00F07D54" w:rsidSect="000B1B6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3413" w14:textId="77777777" w:rsidR="007F1AA3" w:rsidRDefault="007F1AA3" w:rsidP="00D32021">
      <w:r>
        <w:separator/>
      </w:r>
    </w:p>
  </w:endnote>
  <w:endnote w:type="continuationSeparator" w:id="0">
    <w:p w14:paraId="2D3ABF54" w14:textId="77777777" w:rsidR="007F1AA3" w:rsidRDefault="007F1AA3" w:rsidP="00D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57F6" w14:textId="77777777" w:rsidR="007F1AA3" w:rsidRDefault="007F1AA3" w:rsidP="00D32021">
      <w:r>
        <w:separator/>
      </w:r>
    </w:p>
  </w:footnote>
  <w:footnote w:type="continuationSeparator" w:id="0">
    <w:p w14:paraId="0AC7FDDF" w14:textId="77777777" w:rsidR="007F1AA3" w:rsidRDefault="007F1AA3" w:rsidP="00D3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C351" w14:textId="77777777" w:rsidR="00D32021" w:rsidRPr="00F07D54" w:rsidRDefault="00D32021" w:rsidP="00D32021">
    <w:pPr>
      <w:spacing w:line="0" w:lineRule="atLeast"/>
      <w:jc w:val="right"/>
      <w:rPr>
        <w:rFonts w:ascii="Arial" w:hAnsi="Arial" w:cs="Arial"/>
        <w:b/>
        <w:sz w:val="22"/>
        <w:szCs w:val="22"/>
        <w:lang w:val="lv-LV"/>
      </w:rPr>
    </w:pPr>
    <w:r w:rsidRPr="00F07D54">
      <w:rPr>
        <w:rFonts w:ascii="Arial" w:hAnsi="Arial" w:cs="Arial"/>
        <w:b/>
        <w:sz w:val="22"/>
        <w:szCs w:val="22"/>
        <w:lang w:val="lv-LV"/>
      </w:rPr>
      <w:t>7.pielikums</w:t>
    </w:r>
  </w:p>
  <w:p w14:paraId="77447DB9" w14:textId="77777777" w:rsidR="00D32021" w:rsidRDefault="00D32021" w:rsidP="00D32021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F7A26"/>
    <w:multiLevelType w:val="multilevel"/>
    <w:tmpl w:val="2F5E876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5"/>
    <w:rsid w:val="000B1B65"/>
    <w:rsid w:val="00624406"/>
    <w:rsid w:val="00711EDC"/>
    <w:rsid w:val="00712C94"/>
    <w:rsid w:val="007F1AA3"/>
    <w:rsid w:val="00D3202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E9D"/>
  <w15:docId w15:val="{10E85C37-ABEB-4B5B-BB50-102CEF79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0B1B6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0B1B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0B1B65"/>
    <w:pPr>
      <w:ind w:left="720"/>
      <w:contextualSpacing/>
    </w:pPr>
  </w:style>
  <w:style w:type="character" w:customStyle="1" w:styleId="FontStyle37">
    <w:name w:val="Font Style37"/>
    <w:uiPriority w:val="99"/>
    <w:rsid w:val="000B1B65"/>
    <w:rPr>
      <w:rFonts w:ascii="Times New Roman" w:hAnsi="Times New Roman" w:cs="Times New Roman" w:hint="default"/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D320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202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2</cp:revision>
  <dcterms:created xsi:type="dcterms:W3CDTF">2022-01-18T09:38:00Z</dcterms:created>
  <dcterms:modified xsi:type="dcterms:W3CDTF">2022-01-18T09:38:00Z</dcterms:modified>
</cp:coreProperties>
</file>