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F430" w14:textId="77777777" w:rsidR="0077409A" w:rsidRPr="00986BC9" w:rsidRDefault="0077409A" w:rsidP="0077409A">
      <w:pPr>
        <w:spacing w:after="0" w:line="240" w:lineRule="auto"/>
        <w:rPr>
          <w:rFonts w:ascii="Times New Roman" w:eastAsia="Times New Roman" w:hAnsi="Times New Roman" w:cs="Times New Roman"/>
          <w:sz w:val="24"/>
          <w:szCs w:val="24"/>
        </w:rPr>
      </w:pPr>
    </w:p>
    <w:p w14:paraId="60FCB891" w14:textId="73016185" w:rsidR="00984CDE" w:rsidRDefault="00230D93" w:rsidP="00230D93">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Tirgus izpētes “</w:t>
      </w:r>
      <w:r w:rsidR="00DE5A3F">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N</w:t>
      </w:r>
      <w:r w:rsidR="00DE5A3F">
        <w:rPr>
          <w:rFonts w:ascii="Times New Roman" w:eastAsia="Times New Roman" w:hAnsi="Times New Roman" w:cs="Times New Roman"/>
          <w:b/>
          <w:bCs/>
          <w:sz w:val="28"/>
          <w:szCs w:val="28"/>
          <w:u w:val="single"/>
        </w:rPr>
        <w:t>ekustamā īpašuma apdrošināšan</w:t>
      </w:r>
      <w:r>
        <w:rPr>
          <w:rFonts w:ascii="Times New Roman" w:eastAsia="Times New Roman" w:hAnsi="Times New Roman" w:cs="Times New Roman"/>
          <w:b/>
          <w:bCs/>
          <w:sz w:val="28"/>
          <w:szCs w:val="28"/>
          <w:u w:val="single"/>
        </w:rPr>
        <w:t>a”</w:t>
      </w:r>
    </w:p>
    <w:p w14:paraId="5A41786D"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1CB5E111" w14:textId="4DE1C6AB" w:rsidR="00984CDE" w:rsidRPr="00984CDE" w:rsidRDefault="009D65E8" w:rsidP="00984CD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Tehniskā specifikācija</w:t>
      </w:r>
    </w:p>
    <w:p w14:paraId="0887F922"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tbl>
      <w:tblPr>
        <w:tblW w:w="493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6893"/>
      </w:tblGrid>
      <w:tr w:rsidR="00C7465C" w:rsidRPr="00984CDE" w14:paraId="4A071017" w14:textId="77777777" w:rsidTr="00276115">
        <w:trPr>
          <w:trHeight w:val="319"/>
        </w:trPr>
        <w:tc>
          <w:tcPr>
            <w:tcW w:w="1101" w:type="pct"/>
            <w:tcBorders>
              <w:top w:val="single" w:sz="12" w:space="0" w:color="auto"/>
            </w:tcBorders>
          </w:tcPr>
          <w:p w14:paraId="02515F09" w14:textId="793C66AE" w:rsidR="00C7465C" w:rsidRPr="00984CDE" w:rsidRDefault="00C7465C" w:rsidP="00984CD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Apdrošinājuma ņēmējs/Apdrošinātais:</w:t>
            </w:r>
          </w:p>
        </w:tc>
        <w:tc>
          <w:tcPr>
            <w:tcW w:w="3899" w:type="pct"/>
            <w:tcBorders>
              <w:top w:val="single" w:sz="12" w:space="0" w:color="auto"/>
              <w:right w:val="single" w:sz="12" w:space="0" w:color="auto"/>
            </w:tcBorders>
          </w:tcPr>
          <w:p w14:paraId="06B788C8" w14:textId="471CE4FA" w:rsidR="00C7465C" w:rsidRPr="00984CDE" w:rsidRDefault="00C7465C" w:rsidP="00984C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 “LATVIJAS DZELZCEĻŠ”</w:t>
            </w:r>
          </w:p>
        </w:tc>
      </w:tr>
      <w:tr w:rsidR="00986BC9" w:rsidRPr="00984CDE" w14:paraId="34D9E955" w14:textId="77777777" w:rsidTr="00276115">
        <w:trPr>
          <w:trHeight w:val="319"/>
        </w:trPr>
        <w:tc>
          <w:tcPr>
            <w:tcW w:w="1101" w:type="pct"/>
            <w:tcBorders>
              <w:top w:val="single" w:sz="12" w:space="0" w:color="auto"/>
            </w:tcBorders>
          </w:tcPr>
          <w:p w14:paraId="636D4A6B" w14:textId="1D3C17AD" w:rsidR="00984CDE" w:rsidRPr="00984CDE" w:rsidRDefault="00984CDE" w:rsidP="00984CDE">
            <w:pPr>
              <w:spacing w:after="0" w:line="240" w:lineRule="auto"/>
              <w:jc w:val="both"/>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Apdrošināšanas objekts</w:t>
            </w:r>
            <w:r w:rsidR="00C7465C">
              <w:rPr>
                <w:rFonts w:ascii="Times New Roman" w:eastAsia="Times New Roman" w:hAnsi="Times New Roman" w:cs="Times New Roman"/>
                <w:b/>
                <w:bCs/>
                <w:sz w:val="24"/>
                <w:szCs w:val="24"/>
              </w:rPr>
              <w:t>:</w:t>
            </w:r>
          </w:p>
        </w:tc>
        <w:tc>
          <w:tcPr>
            <w:tcW w:w="3899" w:type="pct"/>
            <w:tcBorders>
              <w:top w:val="single" w:sz="12" w:space="0" w:color="auto"/>
              <w:right w:val="single" w:sz="12" w:space="0" w:color="auto"/>
            </w:tcBorders>
          </w:tcPr>
          <w:p w14:paraId="72CCC622" w14:textId="535DCF5C"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Ēka</w:t>
            </w:r>
            <w:r w:rsidR="00B32101">
              <w:rPr>
                <w:rFonts w:ascii="Times New Roman" w:eastAsia="Times New Roman" w:hAnsi="Times New Roman" w:cs="Times New Roman"/>
                <w:sz w:val="24"/>
                <w:szCs w:val="24"/>
              </w:rPr>
              <w:t>/būves</w:t>
            </w:r>
            <w:r w:rsidRPr="00984CDE">
              <w:rPr>
                <w:rFonts w:ascii="Times New Roman" w:eastAsia="Times New Roman" w:hAnsi="Times New Roman" w:cs="Times New Roman"/>
                <w:sz w:val="24"/>
                <w:szCs w:val="24"/>
              </w:rPr>
              <w:t xml:space="preserve"> tiek apdrošināta ar visām to konstrukcijā ietilpstošajām un papildus uzstādītajām inženiertehniskajām komunikācijām un aprīkojumu (lifti</w:t>
            </w:r>
            <w:r w:rsidR="00DE5A3F">
              <w:rPr>
                <w:rFonts w:ascii="Times New Roman" w:eastAsia="Times New Roman" w:hAnsi="Times New Roman" w:cs="Times New Roman"/>
                <w:sz w:val="24"/>
                <w:szCs w:val="24"/>
              </w:rPr>
              <w:t>, ja ir</w:t>
            </w:r>
            <w:r w:rsidRPr="00984CDE">
              <w:rPr>
                <w:rFonts w:ascii="Times New Roman" w:eastAsia="Times New Roman" w:hAnsi="Times New Roman" w:cs="Times New Roman"/>
                <w:sz w:val="24"/>
                <w:szCs w:val="24"/>
              </w:rPr>
              <w:t>, sakaru tīkli, signalizācija, videonovērošana, ventilācija, gaisa kondicionēšanas un elektrosadales tīkli, karstā un aukstā ūdens apgāde, kanalizācija un apkures sistēmas ar siltummezgliem u.c.) Tiek apdrošinātas arī ēka</w:t>
            </w:r>
            <w:r w:rsidR="00B32101">
              <w:rPr>
                <w:rFonts w:ascii="Times New Roman" w:eastAsia="Times New Roman" w:hAnsi="Times New Roman" w:cs="Times New Roman"/>
                <w:sz w:val="24"/>
                <w:szCs w:val="24"/>
              </w:rPr>
              <w:t>/būves</w:t>
            </w:r>
            <w:r w:rsidRPr="00984CDE">
              <w:rPr>
                <w:rFonts w:ascii="Times New Roman" w:eastAsia="Times New Roman" w:hAnsi="Times New Roman" w:cs="Times New Roman"/>
                <w:sz w:val="24"/>
                <w:szCs w:val="24"/>
              </w:rPr>
              <w:t>, kas ir nodotas nomā</w:t>
            </w:r>
          </w:p>
        </w:tc>
      </w:tr>
      <w:tr w:rsidR="00986BC9" w:rsidRPr="00986BC9" w14:paraId="25621832" w14:textId="77777777" w:rsidTr="00276115">
        <w:trPr>
          <w:trHeight w:val="483"/>
        </w:trPr>
        <w:tc>
          <w:tcPr>
            <w:tcW w:w="1101" w:type="pct"/>
            <w:tcBorders>
              <w:top w:val="single" w:sz="12" w:space="0" w:color="auto"/>
            </w:tcBorders>
          </w:tcPr>
          <w:p w14:paraId="26D939C6" w14:textId="25650212" w:rsidR="00984CDE" w:rsidRPr="00984CDE" w:rsidRDefault="00984CDE" w:rsidP="00984CDE">
            <w:pPr>
              <w:spacing w:after="0" w:line="240" w:lineRule="auto"/>
              <w:jc w:val="both"/>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Apdrošinājuma summa</w:t>
            </w:r>
            <w:r w:rsidR="00C7465C">
              <w:rPr>
                <w:rFonts w:ascii="Times New Roman" w:eastAsia="Times New Roman" w:hAnsi="Times New Roman" w:cs="Times New Roman"/>
                <w:b/>
                <w:bCs/>
                <w:sz w:val="24"/>
                <w:szCs w:val="24"/>
              </w:rPr>
              <w:t>:</w:t>
            </w:r>
          </w:p>
        </w:tc>
        <w:tc>
          <w:tcPr>
            <w:tcW w:w="3899" w:type="pct"/>
            <w:tcBorders>
              <w:top w:val="single" w:sz="12" w:space="0" w:color="auto"/>
              <w:right w:val="single" w:sz="12" w:space="0" w:color="auto"/>
            </w:tcBorders>
          </w:tcPr>
          <w:p w14:paraId="02EED1C4" w14:textId="50E8EE3D" w:rsidR="00DE5A3F" w:rsidRPr="00DE5A3F" w:rsidRDefault="00984CDE" w:rsidP="00DE5A3F">
            <w:pPr>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Ēka</w:t>
            </w:r>
            <w:r w:rsidR="00DE5A3F">
              <w:rPr>
                <w:rFonts w:ascii="Times New Roman" w:eastAsia="Times New Roman" w:hAnsi="Times New Roman" w:cs="Times New Roman"/>
                <w:sz w:val="24"/>
                <w:szCs w:val="24"/>
              </w:rPr>
              <w:t>s/būves</w:t>
            </w:r>
            <w:r w:rsidRPr="00984CDE">
              <w:rPr>
                <w:rFonts w:ascii="Times New Roman" w:eastAsia="Times New Roman" w:hAnsi="Times New Roman" w:cs="Times New Roman"/>
                <w:sz w:val="24"/>
                <w:szCs w:val="24"/>
              </w:rPr>
              <w:t xml:space="preserve"> – EUR </w:t>
            </w:r>
            <w:r w:rsidR="00DE5A3F" w:rsidRPr="00DE5A3F">
              <w:rPr>
                <w:rFonts w:ascii="Times New Roman" w:eastAsia="Times New Roman" w:hAnsi="Times New Roman" w:cs="Times New Roman"/>
                <w:sz w:val="24"/>
                <w:szCs w:val="24"/>
              </w:rPr>
              <w:t>377</w:t>
            </w:r>
            <w:r w:rsidR="00DE5A3F">
              <w:rPr>
                <w:rFonts w:ascii="Times New Roman" w:eastAsia="Times New Roman" w:hAnsi="Times New Roman" w:cs="Times New Roman"/>
                <w:sz w:val="24"/>
                <w:szCs w:val="24"/>
              </w:rPr>
              <w:t> </w:t>
            </w:r>
            <w:r w:rsidR="00DE5A3F" w:rsidRPr="00DE5A3F">
              <w:rPr>
                <w:rFonts w:ascii="Times New Roman" w:eastAsia="Times New Roman" w:hAnsi="Times New Roman" w:cs="Times New Roman"/>
                <w:sz w:val="24"/>
                <w:szCs w:val="24"/>
              </w:rPr>
              <w:t>371</w:t>
            </w:r>
            <w:r w:rsidR="004F41C1">
              <w:rPr>
                <w:rFonts w:ascii="Times New Roman" w:eastAsia="Times New Roman" w:hAnsi="Times New Roman" w:cs="Times New Roman"/>
                <w:sz w:val="24"/>
                <w:szCs w:val="24"/>
              </w:rPr>
              <w:t> </w:t>
            </w:r>
            <w:r w:rsidR="00DE5A3F" w:rsidRPr="00DE5A3F">
              <w:rPr>
                <w:rFonts w:ascii="Times New Roman" w:eastAsia="Times New Roman" w:hAnsi="Times New Roman" w:cs="Times New Roman"/>
                <w:sz w:val="24"/>
                <w:szCs w:val="24"/>
              </w:rPr>
              <w:t>172</w:t>
            </w:r>
            <w:r w:rsidR="004F41C1">
              <w:rPr>
                <w:rFonts w:ascii="Times New Roman" w:eastAsia="Times New Roman" w:hAnsi="Times New Roman" w:cs="Times New Roman"/>
                <w:sz w:val="24"/>
                <w:szCs w:val="24"/>
              </w:rPr>
              <w:t>,00</w:t>
            </w:r>
          </w:p>
          <w:p w14:paraId="768A16E0" w14:textId="1EF20AFF" w:rsidR="00984CDE" w:rsidRPr="00984CDE" w:rsidRDefault="00984CDE" w:rsidP="00984CDE">
            <w:pPr>
              <w:spacing w:after="0" w:line="240" w:lineRule="auto"/>
              <w:jc w:val="both"/>
              <w:rPr>
                <w:rFonts w:ascii="Times New Roman" w:eastAsia="Times New Roman" w:hAnsi="Times New Roman" w:cs="Times New Roman"/>
                <w:sz w:val="24"/>
                <w:szCs w:val="24"/>
              </w:rPr>
            </w:pPr>
          </w:p>
          <w:p w14:paraId="51FB00FF" w14:textId="2A683C25" w:rsidR="00984CDE" w:rsidRPr="00984CDE" w:rsidRDefault="00984CDE" w:rsidP="009252CD">
            <w:pPr>
              <w:spacing w:after="0" w:line="240" w:lineRule="auto"/>
              <w:jc w:val="both"/>
              <w:rPr>
                <w:rFonts w:ascii="Times New Roman" w:eastAsia="Times New Roman" w:hAnsi="Times New Roman" w:cs="Times New Roman"/>
                <w:b/>
                <w:sz w:val="24"/>
                <w:szCs w:val="24"/>
              </w:rPr>
            </w:pPr>
          </w:p>
        </w:tc>
      </w:tr>
      <w:tr w:rsidR="00986BC9" w:rsidRPr="00984CDE" w14:paraId="4E3922DE" w14:textId="77777777" w:rsidTr="00276115">
        <w:trPr>
          <w:trHeight w:val="473"/>
        </w:trPr>
        <w:tc>
          <w:tcPr>
            <w:tcW w:w="1101" w:type="pct"/>
          </w:tcPr>
          <w:p w14:paraId="3F46FCAC" w14:textId="2F0D2530" w:rsidR="00984CDE" w:rsidRPr="00984CDE" w:rsidRDefault="00984CDE" w:rsidP="00984CDE">
            <w:pPr>
              <w:spacing w:after="0" w:line="240" w:lineRule="auto"/>
              <w:jc w:val="both"/>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Apdrošināšanas periods</w:t>
            </w:r>
            <w:r w:rsidR="00C7465C">
              <w:rPr>
                <w:rFonts w:ascii="Times New Roman" w:eastAsia="Times New Roman" w:hAnsi="Times New Roman" w:cs="Times New Roman"/>
                <w:b/>
                <w:bCs/>
                <w:sz w:val="24"/>
                <w:szCs w:val="24"/>
              </w:rPr>
              <w:t>:</w:t>
            </w:r>
          </w:p>
        </w:tc>
        <w:tc>
          <w:tcPr>
            <w:tcW w:w="3899" w:type="pct"/>
            <w:tcBorders>
              <w:right w:val="single" w:sz="12" w:space="0" w:color="auto"/>
            </w:tcBorders>
          </w:tcPr>
          <w:p w14:paraId="21582967" w14:textId="3E20971E" w:rsidR="00984CDE" w:rsidRPr="00984CDE" w:rsidRDefault="00DE5A3F" w:rsidP="009252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84CDE" w:rsidRPr="00984CDE">
              <w:rPr>
                <w:rFonts w:ascii="Times New Roman" w:eastAsia="Times New Roman" w:hAnsi="Times New Roman" w:cs="Times New Roman"/>
                <w:sz w:val="24"/>
                <w:szCs w:val="24"/>
              </w:rPr>
              <w:t xml:space="preserve"> mēneši un 24 stundas diennaktī</w:t>
            </w:r>
          </w:p>
        </w:tc>
      </w:tr>
      <w:tr w:rsidR="00986BC9" w:rsidRPr="00984CDE" w14:paraId="4C851412" w14:textId="77777777" w:rsidTr="00276115">
        <w:trPr>
          <w:trHeight w:val="686"/>
        </w:trPr>
        <w:tc>
          <w:tcPr>
            <w:tcW w:w="1101" w:type="pct"/>
          </w:tcPr>
          <w:p w14:paraId="00FB7F4F" w14:textId="26586234" w:rsidR="00984CDE" w:rsidRPr="00984CDE" w:rsidRDefault="00984CDE" w:rsidP="00984CDE">
            <w:pPr>
              <w:spacing w:after="0" w:line="240" w:lineRule="auto"/>
              <w:jc w:val="both"/>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Seguma darbības teritorija</w:t>
            </w:r>
            <w:r w:rsidR="00C7465C">
              <w:rPr>
                <w:rFonts w:ascii="Times New Roman" w:eastAsia="Times New Roman" w:hAnsi="Times New Roman" w:cs="Times New Roman"/>
                <w:b/>
                <w:bCs/>
                <w:sz w:val="24"/>
                <w:szCs w:val="24"/>
              </w:rPr>
              <w:t>:</w:t>
            </w:r>
          </w:p>
        </w:tc>
        <w:tc>
          <w:tcPr>
            <w:tcW w:w="3899" w:type="pct"/>
            <w:tcBorders>
              <w:right w:val="single" w:sz="12" w:space="0" w:color="auto"/>
            </w:tcBorders>
          </w:tcPr>
          <w:p w14:paraId="4B4FB950"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Latvijas Republika</w:t>
            </w:r>
          </w:p>
        </w:tc>
      </w:tr>
      <w:tr w:rsidR="00986BC9" w:rsidRPr="00984CDE" w14:paraId="4335D943" w14:textId="77777777" w:rsidTr="00276115">
        <w:trPr>
          <w:trHeight w:val="1301"/>
        </w:trPr>
        <w:tc>
          <w:tcPr>
            <w:tcW w:w="1101" w:type="pct"/>
          </w:tcPr>
          <w:p w14:paraId="285FCBF6" w14:textId="27BC2E79" w:rsidR="00984CDE" w:rsidRPr="00984CDE" w:rsidRDefault="00984CDE" w:rsidP="00984CDE">
            <w:pPr>
              <w:spacing w:after="0" w:line="240" w:lineRule="auto"/>
              <w:jc w:val="both"/>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Apdrošinātie riski</w:t>
            </w:r>
            <w:r w:rsidR="00C7465C">
              <w:rPr>
                <w:rFonts w:ascii="Times New Roman" w:eastAsia="Times New Roman" w:hAnsi="Times New Roman" w:cs="Times New Roman"/>
                <w:b/>
                <w:bCs/>
                <w:sz w:val="24"/>
                <w:szCs w:val="24"/>
              </w:rPr>
              <w:t>:</w:t>
            </w:r>
          </w:p>
        </w:tc>
        <w:tc>
          <w:tcPr>
            <w:tcW w:w="3899" w:type="pct"/>
            <w:tcBorders>
              <w:right w:val="single" w:sz="12" w:space="0" w:color="auto"/>
            </w:tcBorders>
          </w:tcPr>
          <w:p w14:paraId="110FAEAD" w14:textId="77777777" w:rsidR="009754D9" w:rsidRDefault="00383043" w:rsidP="00984CDE">
            <w:pPr>
              <w:spacing w:after="0" w:line="240" w:lineRule="auto"/>
              <w:jc w:val="both"/>
              <w:rPr>
                <w:rFonts w:ascii="Times New Roman" w:eastAsia="Times New Roman" w:hAnsi="Times New Roman" w:cs="Times New Roman"/>
                <w:sz w:val="24"/>
                <w:szCs w:val="24"/>
              </w:rPr>
            </w:pPr>
            <w:r w:rsidRPr="00383043">
              <w:rPr>
                <w:rFonts w:ascii="Times New Roman" w:eastAsia="Times New Roman" w:hAnsi="Times New Roman" w:cs="Times New Roman"/>
                <w:b/>
                <w:sz w:val="24"/>
                <w:szCs w:val="24"/>
                <w:u w:val="single"/>
              </w:rPr>
              <w:t>Visu risku segums</w:t>
            </w:r>
            <w:r w:rsidRPr="00383043">
              <w:rPr>
                <w:rFonts w:ascii="Times New Roman" w:eastAsia="Times New Roman" w:hAnsi="Times New Roman" w:cs="Times New Roman"/>
                <w:sz w:val="24"/>
                <w:szCs w:val="24"/>
              </w:rPr>
              <w:t xml:space="preserve"> – jebkāds apdrošinātā īpašuma pēkšņs un fizisks bojājums vai zudums jebkādu cēloņu rezultātā, tai skaitā, bet neaprobežojoties tikai ar minētajiem:</w:t>
            </w:r>
            <w:r>
              <w:rPr>
                <w:rFonts w:ascii="Times New Roman" w:eastAsia="Times New Roman" w:hAnsi="Times New Roman" w:cs="Times New Roman"/>
                <w:sz w:val="24"/>
                <w:szCs w:val="24"/>
              </w:rPr>
              <w:t xml:space="preserve"> </w:t>
            </w:r>
          </w:p>
          <w:p w14:paraId="7E205289" w14:textId="3B679D70"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Ugunsgrēks; eksplozija; zibens tieša un netieša iedarbība (spēriens) – kā arī zaudējumi, ko radījis ūdens vai citas vielas, kas izmantotas uguns dzēšanai; </w:t>
            </w:r>
          </w:p>
          <w:p w14:paraId="390B5E7C"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Lidaparātu un no tiem krītošu priekšmetu un kravu nokrišana vai lidaparātu  piespiedu piezemēšanās; </w:t>
            </w:r>
          </w:p>
          <w:p w14:paraId="043499AF"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Plūdi – teritorijas, uz kuras atrodas apdrošinātais objekts, applūšana ar ūdeni, kas pārgājis pāri ūdens tilpņu vai dabīgo ūdens baseinu robežām; </w:t>
            </w:r>
          </w:p>
          <w:p w14:paraId="70F891DB" w14:textId="70C47273"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Vētra - (vēja ātrum</w:t>
            </w:r>
            <w:r w:rsidR="009754D9">
              <w:rPr>
                <w:rFonts w:ascii="Times New Roman" w:eastAsia="Times New Roman" w:hAnsi="Times New Roman" w:cs="Times New Roman"/>
                <w:sz w:val="24"/>
                <w:szCs w:val="24"/>
              </w:rPr>
              <w:t>am</w:t>
            </w:r>
            <w:r w:rsidRPr="00984CDE">
              <w:rPr>
                <w:rFonts w:ascii="Times New Roman" w:eastAsia="Times New Roman" w:hAnsi="Times New Roman" w:cs="Times New Roman"/>
                <w:sz w:val="24"/>
                <w:szCs w:val="24"/>
              </w:rPr>
              <w:t xml:space="preserve"> </w:t>
            </w:r>
            <w:r w:rsidR="009754D9">
              <w:rPr>
                <w:rFonts w:ascii="Times New Roman" w:eastAsia="Times New Roman" w:hAnsi="Times New Roman" w:cs="Times New Roman"/>
                <w:sz w:val="24"/>
                <w:szCs w:val="24"/>
              </w:rPr>
              <w:t>nav ierobežojuma</w:t>
            </w:r>
            <w:r w:rsidRPr="00984CDE">
              <w:rPr>
                <w:rFonts w:ascii="Times New Roman" w:eastAsia="Times New Roman" w:hAnsi="Times New Roman" w:cs="Times New Roman"/>
                <w:sz w:val="24"/>
                <w:szCs w:val="24"/>
              </w:rPr>
              <w:t>);</w:t>
            </w:r>
          </w:p>
          <w:p w14:paraId="0B00831C"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Koku, mastu vai citu priekšmetu uzkrišana, neatkarīgi no iemesla;</w:t>
            </w:r>
          </w:p>
          <w:p w14:paraId="2DB28916"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Krusa – nokrišņu ledus graudu veidā tieša iedarbība uz apdrošināto objektu; </w:t>
            </w:r>
          </w:p>
          <w:p w14:paraId="3541E882"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Zemestrīce – zemes garozas svārstības Latvijas teritorijā; </w:t>
            </w:r>
          </w:p>
          <w:p w14:paraId="3C81A30F"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Nepārtraukta snigšana vai sniega svara radītie zaudējumi, tai skaitā krītošs sniegs un ledus, apdrošinātajam objektam (tai skaitā pie ēkām piestiprinātie gaismas ķermeņi, videonovērošanas kameras, kondicionēšanas un ventilācijas iekārtas, reklāmas izkārtnes, nojumes) arī tad, ja sniegs laikus nav notīrīts attaisnojošu iemeslu dēļ;</w:t>
            </w:r>
          </w:p>
          <w:p w14:paraId="54595C80"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Trešo personu prettiesiska rīcība – tīša/netīša īpašuma bojāšana vai iznīcināšana, vandālisms, zādzība ar ielaušanos, laupīšana; </w:t>
            </w:r>
          </w:p>
          <w:p w14:paraId="033E837B"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xml:space="preserve">Mehānisko transportlīdzekļu iedarbība – jebkura veida mehāniskā  transportlīdzekļa ietriekšanās apdrošinātajā objektā, kā arī mehāniskā transportlīdzekļa, iekraušanas vai izkraušanas mehānisma tiešs trieciens apdrošināšanas objektam; </w:t>
            </w:r>
          </w:p>
          <w:p w14:paraId="1046A528" w14:textId="77777777"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Applūšana – ūdens, šķidruma noplūde – jebkuras caurules ūdens vai kanalizācijas sistēmas avārija. Avārijas rezultātā noplūstot šķidrumam vai tvaikam no ūdens apgādes, kanalizācijas, apkures, ugunsdzēšanas sistēmu cauruļvadiem vai ierīcēm, kā arī no citām ēkā izvietotām ierīcēm un cauruļvadiem, tai skaitā no kondicionēšanas sistēmām.</w:t>
            </w:r>
          </w:p>
          <w:p w14:paraId="013AAE1A" w14:textId="77777777" w:rsidR="00984CDE" w:rsidRPr="00984CDE" w:rsidRDefault="00984CDE" w:rsidP="00984CDE">
            <w:pPr>
              <w:spacing w:after="0" w:line="240" w:lineRule="auto"/>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lastRenderedPageBreak/>
              <w:t>Stiklojuma apdrošināšana visiem riskiem - stiklotās virsmas (logi, durvis, stiklotas sienas u.tml.), kā arī vitrīnas.</w:t>
            </w:r>
          </w:p>
        </w:tc>
      </w:tr>
      <w:tr w:rsidR="00986BC9" w:rsidRPr="00984CDE" w14:paraId="2A45D59A" w14:textId="77777777" w:rsidTr="00276115">
        <w:trPr>
          <w:trHeight w:val="346"/>
        </w:trPr>
        <w:tc>
          <w:tcPr>
            <w:tcW w:w="1101" w:type="pct"/>
          </w:tcPr>
          <w:p w14:paraId="03DCB390" w14:textId="77777777" w:rsidR="00984CDE" w:rsidRPr="00984CDE" w:rsidRDefault="00984CDE" w:rsidP="00984CDE">
            <w:pPr>
              <w:widowControl w:val="0"/>
              <w:tabs>
                <w:tab w:val="center" w:pos="4153"/>
                <w:tab w:val="right" w:pos="8306"/>
              </w:tabs>
              <w:spacing w:before="40" w:after="40" w:line="240" w:lineRule="auto"/>
              <w:rPr>
                <w:rFonts w:ascii="Times New Roman" w:eastAsia="Calibri" w:hAnsi="Times New Roman" w:cs="Times New Roman"/>
                <w:b/>
                <w:bCs/>
                <w:sz w:val="24"/>
                <w:szCs w:val="24"/>
              </w:rPr>
            </w:pPr>
            <w:r w:rsidRPr="00984CDE">
              <w:rPr>
                <w:rFonts w:ascii="Times New Roman" w:eastAsia="Calibri" w:hAnsi="Times New Roman" w:cs="Times New Roman"/>
                <w:b/>
                <w:bCs/>
                <w:sz w:val="24"/>
                <w:szCs w:val="24"/>
              </w:rPr>
              <w:lastRenderedPageBreak/>
              <w:t>Paša risks:</w:t>
            </w:r>
          </w:p>
        </w:tc>
        <w:tc>
          <w:tcPr>
            <w:tcW w:w="3899" w:type="pct"/>
            <w:tcBorders>
              <w:right w:val="single" w:sz="12" w:space="0" w:color="auto"/>
            </w:tcBorders>
          </w:tcPr>
          <w:p w14:paraId="44E1608C" w14:textId="77777777" w:rsidR="00984CDE" w:rsidRPr="00984CDE" w:rsidRDefault="00984CDE" w:rsidP="00984CDE">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Stiklojumam – nevar būt lielāks par EUR 70,00;</w:t>
            </w:r>
          </w:p>
          <w:p w14:paraId="1541AE68" w14:textId="77777777" w:rsidR="00984CDE" w:rsidRPr="00984CDE" w:rsidRDefault="00984CDE" w:rsidP="00984CDE">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 xml:space="preserve">Pārējam – EUR 150; </w:t>
            </w:r>
          </w:p>
          <w:p w14:paraId="13CC9391" w14:textId="77777777" w:rsidR="00984CDE" w:rsidRPr="00984CDE" w:rsidRDefault="00984CDE" w:rsidP="00984CDE">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Norādītais paša risks attiecas uz visiem objektiem vienlaicīgi un tiek piemērots tikai vienu reizi apdrošināšanas gadījumā, ja apdrošināšanas gadījums objektos iestājies viena un tā paša cēloņa rezultātā</w:t>
            </w:r>
          </w:p>
        </w:tc>
      </w:tr>
      <w:tr w:rsidR="00986BC9" w:rsidRPr="00984CDE" w14:paraId="6E4CFDA5" w14:textId="77777777" w:rsidTr="00276115">
        <w:trPr>
          <w:trHeight w:val="346"/>
        </w:trPr>
        <w:tc>
          <w:tcPr>
            <w:tcW w:w="1101" w:type="pct"/>
          </w:tcPr>
          <w:p w14:paraId="54204A10" w14:textId="77777777" w:rsidR="00984CDE" w:rsidRPr="00984CDE" w:rsidRDefault="00984CDE" w:rsidP="00984CDE">
            <w:pPr>
              <w:widowControl w:val="0"/>
              <w:tabs>
                <w:tab w:val="center" w:pos="4153"/>
                <w:tab w:val="right" w:pos="8306"/>
              </w:tabs>
              <w:spacing w:before="40" w:after="40" w:line="240" w:lineRule="auto"/>
              <w:rPr>
                <w:rFonts w:ascii="Times New Roman" w:eastAsia="Calibri" w:hAnsi="Times New Roman" w:cs="Times New Roman"/>
                <w:b/>
                <w:bCs/>
                <w:sz w:val="24"/>
                <w:szCs w:val="24"/>
              </w:rPr>
            </w:pPr>
            <w:r w:rsidRPr="00984CDE">
              <w:rPr>
                <w:rFonts w:ascii="Times New Roman" w:eastAsia="Calibri" w:hAnsi="Times New Roman" w:cs="Times New Roman"/>
                <w:b/>
                <w:bCs/>
                <w:sz w:val="24"/>
                <w:szCs w:val="24"/>
              </w:rPr>
              <w:t>Īpašie nosacījumi:</w:t>
            </w:r>
          </w:p>
        </w:tc>
        <w:tc>
          <w:tcPr>
            <w:tcW w:w="3899" w:type="pct"/>
            <w:tcBorders>
              <w:right w:val="single" w:sz="12" w:space="0" w:color="auto"/>
            </w:tcBorders>
          </w:tcPr>
          <w:p w14:paraId="75C62ED6" w14:textId="480D9B3E" w:rsidR="00984CDE" w:rsidRPr="00984CDE" w:rsidRDefault="00984CDE" w:rsidP="00984CDE">
            <w:pPr>
              <w:spacing w:after="0" w:line="240" w:lineRule="auto"/>
              <w:jc w:val="both"/>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Ēka</w:t>
            </w:r>
            <w:r w:rsidR="00DE5A3F">
              <w:rPr>
                <w:rFonts w:ascii="Times New Roman" w:eastAsia="Times New Roman" w:hAnsi="Times New Roman" w:cs="Times New Roman"/>
                <w:sz w:val="24"/>
                <w:szCs w:val="24"/>
              </w:rPr>
              <w:t>s/būves</w:t>
            </w:r>
            <w:r w:rsidRPr="00984CDE">
              <w:rPr>
                <w:rFonts w:ascii="Times New Roman" w:eastAsia="Times New Roman" w:hAnsi="Times New Roman" w:cs="Times New Roman"/>
                <w:sz w:val="24"/>
                <w:szCs w:val="24"/>
              </w:rPr>
              <w:t xml:space="preserve"> tiek apdrošināta atjaunošanas vērtībā</w:t>
            </w:r>
            <w:r w:rsidR="00DE5A3F">
              <w:rPr>
                <w:rFonts w:ascii="Times New Roman" w:eastAsia="Times New Roman" w:hAnsi="Times New Roman" w:cs="Times New Roman"/>
                <w:sz w:val="24"/>
                <w:szCs w:val="24"/>
              </w:rPr>
              <w:t>;</w:t>
            </w:r>
          </w:p>
          <w:p w14:paraId="4EFFBE94"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Apdrošinātā objekta pilnīgas bojāejas gadījumā tiek atlīdzināti atjaunošanas izdevumi</w:t>
            </w:r>
            <w:r w:rsidRPr="00986BC9">
              <w:rPr>
                <w:rFonts w:ascii="Times New Roman" w:eastAsia="Calibri" w:hAnsi="Times New Roman" w:cs="Times New Roman"/>
                <w:sz w:val="24"/>
                <w:szCs w:val="24"/>
              </w:rPr>
              <w:t>, nepiemērojot zemapdrošināšanu</w:t>
            </w:r>
            <w:r w:rsidR="00AF22EF">
              <w:rPr>
                <w:rFonts w:ascii="Times New Roman" w:eastAsia="Calibri" w:hAnsi="Times New Roman" w:cs="Times New Roman"/>
                <w:sz w:val="24"/>
                <w:szCs w:val="24"/>
              </w:rPr>
              <w:t xml:space="preserve"> un nolietojumu</w:t>
            </w:r>
            <w:r w:rsidRPr="00984CDE">
              <w:rPr>
                <w:rFonts w:ascii="Times New Roman" w:eastAsia="Calibri" w:hAnsi="Times New Roman" w:cs="Times New Roman"/>
                <w:sz w:val="24"/>
                <w:szCs w:val="24"/>
              </w:rPr>
              <w:t>;</w:t>
            </w:r>
          </w:p>
          <w:p w14:paraId="443F10E7"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Apdrošinātā objekta daļēju bojājumu gadījumā tiek atlīdzināti izdevumi nepieciešamo remontdarbu apmērā</w:t>
            </w:r>
            <w:r w:rsidRPr="00986BC9">
              <w:rPr>
                <w:rFonts w:ascii="Times New Roman" w:eastAsia="Calibri" w:hAnsi="Times New Roman" w:cs="Times New Roman"/>
                <w:sz w:val="24"/>
                <w:szCs w:val="24"/>
              </w:rPr>
              <w:t>, nepiemērojot zemapdrošināšanu</w:t>
            </w:r>
            <w:r w:rsidR="00AF22EF">
              <w:rPr>
                <w:rFonts w:ascii="Times New Roman" w:eastAsia="Calibri" w:hAnsi="Times New Roman" w:cs="Times New Roman"/>
                <w:sz w:val="24"/>
                <w:szCs w:val="24"/>
              </w:rPr>
              <w:t xml:space="preserve"> un nolietojumu</w:t>
            </w:r>
            <w:r w:rsidRPr="00984CDE">
              <w:rPr>
                <w:rFonts w:ascii="Times New Roman" w:eastAsia="Calibri" w:hAnsi="Times New Roman" w:cs="Times New Roman"/>
                <w:sz w:val="24"/>
                <w:szCs w:val="24"/>
              </w:rPr>
              <w:t>;</w:t>
            </w:r>
          </w:p>
          <w:p w14:paraId="42783F4A"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Apdrošināšana attiecībā uz esošo īpašumu ir spēkā arī, ja apdrošinātajā objektā tiek veikti remontdarbi un būvniecība/montāža. Būvniecību/montāžu var veikt licenzēta firma, saskaņā ar attiecīgiem normatīvajiem aktiem, kā arī gadījumos, kad Pasūtītājs vai tā sadarbības partneri veic ārkārtas un uzturēšanas (tekošos, profilakses) remontdarbus;</w:t>
            </w:r>
          </w:p>
          <w:p w14:paraId="1A20DDC4"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Tiek atlīdzināti zaudējumi, kurus nodarījušas personas, kas noslēgušas ar apdrošināto vai apdrošinājuma ņēmēju apdrošināšanas objekta vai tā daļas nomas, īres, vai citāda veida līgumus, kas piešķir apdrošināšanas objekta lietošanas tiesības, apdrošināšanas segums saglabājas apdrošināšanas līgumā paredzētajā līmenī. Šādos gadījumos attiecībā uz nomnieku tiek piemēroti Pasūtītāja pienākumi un tiesības;</w:t>
            </w:r>
          </w:p>
          <w:p w14:paraId="62CCCB7A"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Tiek atlīdzināti arī darbinieku radītie zaudējumi;</w:t>
            </w:r>
          </w:p>
          <w:p w14:paraId="65A6E175"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Iestājoties apdrošināšanas gadījumam, apdrošināšanas atlīdzība jāizmaksā 10 (desmit) dienu laikā pēc visu, apdrošināšanas līgumā paredzēto dokumentu saņemšanas;</w:t>
            </w:r>
          </w:p>
          <w:p w14:paraId="4E24330C" w14:textId="77777777" w:rsidR="00984CDE" w:rsidRPr="00984CDE" w:rsidRDefault="00984CDE" w:rsidP="00984CDE">
            <w:pPr>
              <w:widowControl w:val="0"/>
              <w:tabs>
                <w:tab w:val="center" w:pos="4153"/>
                <w:tab w:val="right" w:pos="8306"/>
              </w:tabs>
              <w:spacing w:after="0" w:line="240" w:lineRule="auto"/>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Regresa prasība par izmaksāto apdrošināšanas atlīdzību netiek vērsta pret Pasūtītāju un tā darbiniekiem, izņemot, ja darbinieki ir rīkojušies ar ļaunu nolūku;</w:t>
            </w:r>
          </w:p>
          <w:p w14:paraId="5DC742A0" w14:textId="77777777" w:rsidR="00984CDE" w:rsidRPr="00984CDE" w:rsidRDefault="00984CDE" w:rsidP="00984CDE">
            <w:pPr>
              <w:widowControl w:val="0"/>
              <w:tabs>
                <w:tab w:val="center" w:pos="4153"/>
                <w:tab w:val="right" w:pos="8306"/>
              </w:tabs>
              <w:spacing w:before="40" w:after="40" w:line="240" w:lineRule="auto"/>
              <w:ind w:left="54"/>
              <w:jc w:val="both"/>
              <w:rPr>
                <w:rFonts w:ascii="Times New Roman" w:eastAsia="Calibri" w:hAnsi="Times New Roman" w:cs="Times New Roman"/>
                <w:sz w:val="24"/>
                <w:szCs w:val="24"/>
              </w:rPr>
            </w:pPr>
            <w:r w:rsidRPr="00984CDE">
              <w:rPr>
                <w:rFonts w:ascii="Times New Roman" w:eastAsia="Calibri" w:hAnsi="Times New Roman" w:cs="Times New Roman"/>
                <w:sz w:val="24"/>
                <w:szCs w:val="24"/>
              </w:rPr>
              <w:t>Iesniedzot apdrošināšanas piedāvājumu Pretendents apliecina, ka iestājoties apdrošināšanas gadījumam netiek ņemts vērā ēkas, pamatlīdzekļu nolietojums (zemapdrošināšana);</w:t>
            </w:r>
          </w:p>
          <w:p w14:paraId="5978AB44" w14:textId="3C2269B6" w:rsidR="00984CDE" w:rsidRDefault="00984CDE" w:rsidP="00AA03F0">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sidRPr="00984CDE">
              <w:rPr>
                <w:rFonts w:ascii="Times New Roman" w:eastAsia="Calibri" w:hAnsi="Times New Roman" w:cs="Times New Roman"/>
                <w:b/>
                <w:bCs/>
                <w:sz w:val="24"/>
                <w:szCs w:val="24"/>
              </w:rPr>
              <w:t>*</w:t>
            </w:r>
            <w:r w:rsidRPr="00984CDE">
              <w:rPr>
                <w:rFonts w:ascii="Times New Roman" w:eastAsia="Calibri" w:hAnsi="Times New Roman" w:cs="Times New Roman"/>
                <w:sz w:val="24"/>
                <w:szCs w:val="24"/>
              </w:rPr>
              <w:t>Zibens spēriens (t.sk., lodveida zibens) – zibens tieša un netieša iedarbība uz apdrošināmo objektu, kuras rezultātā apdrošinātais objekts tiek bojāts, vai iet bojā.</w:t>
            </w:r>
          </w:p>
          <w:p w14:paraId="0F3E3779" w14:textId="16E18448" w:rsidR="00780277" w:rsidRDefault="00780277" w:rsidP="00AA03F0">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780277">
              <w:rPr>
                <w:rFonts w:ascii="Times New Roman" w:eastAsia="Calibri" w:hAnsi="Times New Roman" w:cs="Times New Roman"/>
                <w:sz w:val="24"/>
                <w:szCs w:val="24"/>
              </w:rPr>
              <w:t xml:space="preserve">pdrošināšanas segumu pret visiem pieteikumā norādītajiem riskiem ir spēkā sarakstā minētajiem objektiem un to sastāvdaļām arī tiem atrodoties ārpus telpām tiem paredzētajā vietā: piestiprināti pie ēkām vai mastiem, novietoti uz ēku jumtiem vai nenorobežotā teritorijā, savienojot dažādus apdrošinātos objektus. Termins ēka ietver arī visas konkrēto ēkas funkcionalitāti nodrošinošās sistēmas un stacionāri iebūvēto tehniku, kā arī </w:t>
            </w:r>
            <w:r>
              <w:rPr>
                <w:rFonts w:ascii="Times New Roman" w:eastAsia="Calibri" w:hAnsi="Times New Roman" w:cs="Times New Roman"/>
                <w:sz w:val="24"/>
                <w:szCs w:val="24"/>
              </w:rPr>
              <w:t>LDZ</w:t>
            </w:r>
            <w:r w:rsidRPr="00780277">
              <w:rPr>
                <w:rFonts w:ascii="Times New Roman" w:eastAsia="Calibri" w:hAnsi="Times New Roman" w:cs="Times New Roman"/>
                <w:sz w:val="24"/>
                <w:szCs w:val="24"/>
              </w:rPr>
              <w:t xml:space="preserve"> piederošos kabeļus un caurules, kas atrodas ārpus celtnēm teritorijā</w:t>
            </w:r>
          </w:p>
          <w:p w14:paraId="0865D89B" w14:textId="77777777" w:rsidR="00780277" w:rsidRDefault="00780277" w:rsidP="00AA03F0">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780277">
              <w:rPr>
                <w:rFonts w:ascii="Times New Roman" w:eastAsia="Calibri" w:hAnsi="Times New Roman" w:cs="Times New Roman"/>
                <w:sz w:val="24"/>
                <w:szCs w:val="24"/>
              </w:rPr>
              <w:t xml:space="preserve">retendentam ir jānodrošina apdrošināšanas segums, neizvirzot papildus prasības attiecībā uz apdrošināšanas objektu ugunsdrošību, un apsardzi jau esošajām. </w:t>
            </w:r>
          </w:p>
          <w:p w14:paraId="4053EA36" w14:textId="46336124" w:rsidR="00780277" w:rsidRPr="00984CDE" w:rsidRDefault="00780277" w:rsidP="00AA03F0">
            <w:pPr>
              <w:widowControl w:val="0"/>
              <w:tabs>
                <w:tab w:val="center" w:pos="4153"/>
                <w:tab w:val="right" w:pos="8306"/>
              </w:tabs>
              <w:spacing w:before="40" w:after="40" w:line="240" w:lineRule="auto"/>
              <w:jc w:val="both"/>
              <w:rPr>
                <w:rFonts w:ascii="Times New Roman" w:eastAsia="Calibri" w:hAnsi="Times New Roman" w:cs="Times New Roman"/>
                <w:sz w:val="24"/>
                <w:szCs w:val="24"/>
              </w:rPr>
            </w:pPr>
            <w:r w:rsidRPr="00780277">
              <w:rPr>
                <w:rFonts w:ascii="Times New Roman" w:eastAsia="Calibri" w:hAnsi="Times New Roman" w:cs="Times New Roman"/>
                <w:sz w:val="24"/>
                <w:szCs w:val="24"/>
              </w:rPr>
              <w:t xml:space="preserve">Pretendentam, apdrošināšanas līguma darbības laikā, ir pienākums </w:t>
            </w:r>
            <w:r w:rsidRPr="00780277">
              <w:rPr>
                <w:rFonts w:ascii="Times New Roman" w:eastAsia="Calibri" w:hAnsi="Times New Roman" w:cs="Times New Roman"/>
                <w:sz w:val="24"/>
                <w:szCs w:val="24"/>
              </w:rPr>
              <w:lastRenderedPageBreak/>
              <w:t xml:space="preserve">iekļaut apdrošināšanas polisē papildus objektus, ja tādi būs. Apdrošināšanas prēmija tiek piemērota atbilstoši finanšu piedāvājumā norādītajam apdrošināšanas tarifam, proporcionāli sadalot atlikušajam mēnešu skaitam līdz pamatpolises darbības termiņa beigām. </w:t>
            </w:r>
          </w:p>
        </w:tc>
      </w:tr>
      <w:tr w:rsidR="00986BC9" w:rsidRPr="00984CDE" w14:paraId="263A622F" w14:textId="77777777" w:rsidTr="00276115">
        <w:trPr>
          <w:trHeight w:val="346"/>
        </w:trPr>
        <w:tc>
          <w:tcPr>
            <w:tcW w:w="1101" w:type="pct"/>
          </w:tcPr>
          <w:p w14:paraId="1AAB8F97" w14:textId="77777777" w:rsidR="00984CDE" w:rsidRPr="00984CDE" w:rsidRDefault="00984CDE" w:rsidP="00984CDE">
            <w:pPr>
              <w:widowControl w:val="0"/>
              <w:tabs>
                <w:tab w:val="center" w:pos="4153"/>
                <w:tab w:val="right" w:pos="8306"/>
              </w:tabs>
              <w:spacing w:before="40" w:after="40" w:line="240" w:lineRule="auto"/>
              <w:rPr>
                <w:rFonts w:ascii="Times New Roman" w:eastAsia="Calibri" w:hAnsi="Times New Roman" w:cs="Times New Roman"/>
                <w:b/>
                <w:bCs/>
                <w:sz w:val="24"/>
                <w:szCs w:val="24"/>
              </w:rPr>
            </w:pPr>
            <w:r w:rsidRPr="00984CDE">
              <w:rPr>
                <w:rFonts w:ascii="Times New Roman" w:eastAsia="Calibri" w:hAnsi="Times New Roman" w:cs="Times New Roman"/>
                <w:b/>
                <w:bCs/>
                <w:sz w:val="24"/>
                <w:szCs w:val="24"/>
              </w:rPr>
              <w:lastRenderedPageBreak/>
              <w:t>Apdrošināšanas prēmijas maksājums:</w:t>
            </w:r>
          </w:p>
        </w:tc>
        <w:tc>
          <w:tcPr>
            <w:tcW w:w="3899" w:type="pct"/>
            <w:tcBorders>
              <w:right w:val="single" w:sz="12" w:space="0" w:color="auto"/>
            </w:tcBorders>
          </w:tcPr>
          <w:p w14:paraId="42B05604" w14:textId="77777777" w:rsidR="00984CDE" w:rsidRPr="00984CDE" w:rsidRDefault="00984CDE" w:rsidP="00984CDE">
            <w:pPr>
              <w:widowControl w:val="0"/>
              <w:tabs>
                <w:tab w:val="left" w:pos="2160"/>
                <w:tab w:val="left" w:pos="2880"/>
                <w:tab w:val="left" w:pos="3585"/>
                <w:tab w:val="left" w:pos="4305"/>
                <w:tab w:val="left" w:pos="5025"/>
                <w:tab w:val="left" w:pos="5745"/>
                <w:tab w:val="left" w:pos="6480"/>
                <w:tab w:val="left" w:pos="7185"/>
                <w:tab w:val="left" w:pos="7905"/>
                <w:tab w:val="left" w:pos="8640"/>
                <w:tab w:val="left" w:pos="9360"/>
                <w:tab w:val="left" w:pos="10080"/>
              </w:tabs>
              <w:spacing w:after="0" w:line="240" w:lineRule="auto"/>
              <w:rPr>
                <w:rFonts w:ascii="Times New Roman" w:eastAsia="Times New Roman" w:hAnsi="Times New Roman" w:cs="Times New Roman"/>
                <w:sz w:val="24"/>
                <w:szCs w:val="24"/>
              </w:rPr>
            </w:pPr>
            <w:r w:rsidRPr="00984CDE">
              <w:rPr>
                <w:rFonts w:ascii="Times New Roman" w:eastAsia="Times New Roman" w:hAnsi="Times New Roman" w:cs="Times New Roman"/>
              </w:rPr>
              <w:t>Apdrošināšanas prēmija tiks apmaksāta četros vienādos maksājumos (reizi ceturksnī)</w:t>
            </w:r>
          </w:p>
          <w:p w14:paraId="01E0C035" w14:textId="77777777" w:rsidR="00984CDE" w:rsidRPr="00984CDE" w:rsidRDefault="00984CDE" w:rsidP="00984CDE">
            <w:pPr>
              <w:widowControl w:val="0"/>
              <w:tabs>
                <w:tab w:val="center" w:pos="4153"/>
                <w:tab w:val="right" w:pos="8306"/>
              </w:tabs>
              <w:spacing w:before="40" w:after="40" w:line="240" w:lineRule="auto"/>
              <w:rPr>
                <w:rFonts w:ascii="Times New Roman" w:eastAsia="Calibri" w:hAnsi="Times New Roman" w:cs="Times New Roman"/>
                <w:b/>
                <w:bCs/>
                <w:sz w:val="24"/>
                <w:szCs w:val="24"/>
              </w:rPr>
            </w:pPr>
          </w:p>
        </w:tc>
      </w:tr>
      <w:tr w:rsidR="00986BC9" w:rsidRPr="00984CDE" w14:paraId="24E196FF" w14:textId="77777777" w:rsidTr="00276115">
        <w:trPr>
          <w:trHeight w:val="346"/>
        </w:trPr>
        <w:tc>
          <w:tcPr>
            <w:tcW w:w="1101" w:type="pct"/>
          </w:tcPr>
          <w:p w14:paraId="28D57002" w14:textId="290983FA" w:rsidR="00984CDE" w:rsidRPr="00984CDE" w:rsidRDefault="00B32101" w:rsidP="00984CDE">
            <w:pPr>
              <w:widowControl w:val="0"/>
              <w:tabs>
                <w:tab w:val="center" w:pos="4153"/>
                <w:tab w:val="right" w:pos="8306"/>
              </w:tabs>
              <w:spacing w:before="40" w:after="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Apdrošināšanas brokers:</w:t>
            </w:r>
          </w:p>
        </w:tc>
        <w:tc>
          <w:tcPr>
            <w:tcW w:w="3899" w:type="pct"/>
            <w:tcBorders>
              <w:right w:val="single" w:sz="12" w:space="0" w:color="auto"/>
            </w:tcBorders>
          </w:tcPr>
          <w:p w14:paraId="3A07FE28" w14:textId="77777777" w:rsidR="00B32101" w:rsidRDefault="00B32101" w:rsidP="00B32101">
            <w:pPr>
              <w:widowControl w:val="0"/>
              <w:tabs>
                <w:tab w:val="center" w:pos="4153"/>
                <w:tab w:val="right" w:pos="8306"/>
              </w:tabs>
              <w:spacing w:before="40" w:after="40" w:line="240" w:lineRule="auto"/>
              <w:jc w:val="both"/>
              <w:rPr>
                <w:rFonts w:ascii="Times New Roman" w:eastAsia="Calibri" w:hAnsi="Times New Roman" w:cs="Times New Roman"/>
                <w:bCs/>
                <w:sz w:val="24"/>
                <w:szCs w:val="24"/>
              </w:rPr>
            </w:pPr>
            <w:r w:rsidRPr="00B32101">
              <w:rPr>
                <w:rFonts w:ascii="Times New Roman" w:eastAsia="Calibri" w:hAnsi="Times New Roman" w:cs="Times New Roman"/>
                <w:bCs/>
                <w:sz w:val="24"/>
                <w:szCs w:val="24"/>
              </w:rPr>
              <w:t xml:space="preserve">Pasūtītājs, pamatojoties uz noslēgto līgumu, izmanto SIA “Apdrošināšanas un finansu brokers” (reģ. Nr. 40003438358) apdrošināšanas brokera pakalpojumus. </w:t>
            </w:r>
          </w:p>
          <w:p w14:paraId="45569010" w14:textId="5FAE19DF" w:rsidR="00D50E36" w:rsidRPr="00B32101" w:rsidRDefault="00B32101" w:rsidP="00B32101">
            <w:pPr>
              <w:widowControl w:val="0"/>
              <w:tabs>
                <w:tab w:val="center" w:pos="4153"/>
                <w:tab w:val="right" w:pos="8306"/>
              </w:tabs>
              <w:spacing w:before="40" w:after="40" w:line="240" w:lineRule="auto"/>
              <w:jc w:val="both"/>
              <w:rPr>
                <w:rFonts w:ascii="Times New Roman" w:eastAsia="Calibri" w:hAnsi="Times New Roman" w:cs="Times New Roman"/>
                <w:bCs/>
                <w:sz w:val="24"/>
                <w:szCs w:val="24"/>
              </w:rPr>
            </w:pPr>
            <w:r w:rsidRPr="00B32101">
              <w:rPr>
                <w:rFonts w:ascii="Times New Roman" w:eastAsia="Calibri" w:hAnsi="Times New Roman" w:cs="Times New Roman"/>
                <w:bCs/>
                <w:sz w:val="24"/>
                <w:szCs w:val="24"/>
              </w:rPr>
              <w:t>Kontaktpersona – Raivis Ķergalvis, tālrunis: +371 22034444, e-pasts: raivis@financebroker.lv. Atlīdzības apmērs par brokera pakalpojumiem jāsedz pretendentam, kuram tiks piešķirtas līguma slēgšanas tiesības un ar kuru tiks noslēgts līgums.</w:t>
            </w:r>
          </w:p>
        </w:tc>
      </w:tr>
    </w:tbl>
    <w:p w14:paraId="342445A0"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E8FC7AA" w14:textId="658283F1" w:rsidR="00984CDE" w:rsidRDefault="00984CDE" w:rsidP="00984CDE">
      <w:pPr>
        <w:spacing w:after="0" w:line="240" w:lineRule="auto"/>
        <w:jc w:val="center"/>
        <w:rPr>
          <w:rFonts w:ascii="Times New Roman" w:eastAsia="Times New Roman" w:hAnsi="Times New Roman" w:cs="Times New Roman"/>
          <w:b/>
          <w:bCs/>
          <w:sz w:val="28"/>
          <w:szCs w:val="28"/>
        </w:rPr>
      </w:pPr>
    </w:p>
    <w:p w14:paraId="5B0CA970" w14:textId="0FCD1551" w:rsidR="004F41C1" w:rsidRDefault="004F41C1" w:rsidP="00984CDE">
      <w:pPr>
        <w:spacing w:after="0" w:line="240" w:lineRule="auto"/>
        <w:jc w:val="center"/>
        <w:rPr>
          <w:rFonts w:ascii="Times New Roman" w:eastAsia="Times New Roman" w:hAnsi="Times New Roman" w:cs="Times New Roman"/>
          <w:b/>
          <w:bCs/>
          <w:sz w:val="28"/>
          <w:szCs w:val="28"/>
        </w:rPr>
      </w:pPr>
    </w:p>
    <w:p w14:paraId="49B77FEB" w14:textId="1FB33CC1" w:rsidR="004F41C1" w:rsidRDefault="004F41C1" w:rsidP="00984CDE">
      <w:pPr>
        <w:spacing w:after="0" w:line="240" w:lineRule="auto"/>
        <w:jc w:val="center"/>
        <w:rPr>
          <w:rFonts w:ascii="Times New Roman" w:eastAsia="Times New Roman" w:hAnsi="Times New Roman" w:cs="Times New Roman"/>
          <w:b/>
          <w:bCs/>
          <w:sz w:val="28"/>
          <w:szCs w:val="28"/>
        </w:rPr>
      </w:pPr>
    </w:p>
    <w:p w14:paraId="3A2E7E8C" w14:textId="24B990CF" w:rsidR="004F41C1" w:rsidRDefault="004F41C1" w:rsidP="00984CDE">
      <w:pPr>
        <w:spacing w:after="0" w:line="240" w:lineRule="auto"/>
        <w:jc w:val="center"/>
        <w:rPr>
          <w:rFonts w:ascii="Times New Roman" w:eastAsia="Times New Roman" w:hAnsi="Times New Roman" w:cs="Times New Roman"/>
          <w:b/>
          <w:bCs/>
          <w:sz w:val="28"/>
          <w:szCs w:val="28"/>
        </w:rPr>
      </w:pPr>
    </w:p>
    <w:p w14:paraId="7DF527C4" w14:textId="410390D9" w:rsidR="004F41C1" w:rsidRDefault="004F41C1" w:rsidP="00984CDE">
      <w:pPr>
        <w:spacing w:after="0" w:line="240" w:lineRule="auto"/>
        <w:jc w:val="center"/>
        <w:rPr>
          <w:rFonts w:ascii="Times New Roman" w:eastAsia="Times New Roman" w:hAnsi="Times New Roman" w:cs="Times New Roman"/>
          <w:b/>
          <w:bCs/>
          <w:sz w:val="28"/>
          <w:szCs w:val="28"/>
        </w:rPr>
      </w:pPr>
    </w:p>
    <w:p w14:paraId="4F0069E8" w14:textId="794F99AA" w:rsidR="00B32101" w:rsidRDefault="00B32101" w:rsidP="00984CDE">
      <w:pPr>
        <w:spacing w:after="0" w:line="240" w:lineRule="auto"/>
        <w:jc w:val="center"/>
        <w:rPr>
          <w:rFonts w:ascii="Times New Roman" w:eastAsia="Times New Roman" w:hAnsi="Times New Roman" w:cs="Times New Roman"/>
          <w:b/>
          <w:bCs/>
          <w:sz w:val="28"/>
          <w:szCs w:val="28"/>
        </w:rPr>
      </w:pPr>
    </w:p>
    <w:p w14:paraId="7DC71A6C" w14:textId="5A4D9140" w:rsidR="00C7465C" w:rsidRDefault="00C7465C" w:rsidP="00984CDE">
      <w:pPr>
        <w:spacing w:after="0" w:line="240" w:lineRule="auto"/>
        <w:jc w:val="center"/>
        <w:rPr>
          <w:rFonts w:ascii="Times New Roman" w:eastAsia="Times New Roman" w:hAnsi="Times New Roman" w:cs="Times New Roman"/>
          <w:b/>
          <w:bCs/>
          <w:sz w:val="28"/>
          <w:szCs w:val="28"/>
        </w:rPr>
      </w:pPr>
    </w:p>
    <w:p w14:paraId="6CCA335E" w14:textId="2421854D" w:rsidR="00C7465C" w:rsidRDefault="00C7465C" w:rsidP="00984CDE">
      <w:pPr>
        <w:spacing w:after="0" w:line="240" w:lineRule="auto"/>
        <w:jc w:val="center"/>
        <w:rPr>
          <w:rFonts w:ascii="Times New Roman" w:eastAsia="Times New Roman" w:hAnsi="Times New Roman" w:cs="Times New Roman"/>
          <w:b/>
          <w:bCs/>
          <w:sz w:val="28"/>
          <w:szCs w:val="28"/>
        </w:rPr>
      </w:pPr>
    </w:p>
    <w:p w14:paraId="3503A108" w14:textId="67458360" w:rsidR="00C7465C" w:rsidRDefault="00C7465C" w:rsidP="00984CDE">
      <w:pPr>
        <w:spacing w:after="0" w:line="240" w:lineRule="auto"/>
        <w:jc w:val="center"/>
        <w:rPr>
          <w:rFonts w:ascii="Times New Roman" w:eastAsia="Times New Roman" w:hAnsi="Times New Roman" w:cs="Times New Roman"/>
          <w:b/>
          <w:bCs/>
          <w:sz w:val="28"/>
          <w:szCs w:val="28"/>
        </w:rPr>
      </w:pPr>
    </w:p>
    <w:p w14:paraId="70CDE10C" w14:textId="253F8E22" w:rsidR="00C7465C" w:rsidRDefault="00C7465C" w:rsidP="00984CDE">
      <w:pPr>
        <w:spacing w:after="0" w:line="240" w:lineRule="auto"/>
        <w:jc w:val="center"/>
        <w:rPr>
          <w:rFonts w:ascii="Times New Roman" w:eastAsia="Times New Roman" w:hAnsi="Times New Roman" w:cs="Times New Roman"/>
          <w:b/>
          <w:bCs/>
          <w:sz w:val="28"/>
          <w:szCs w:val="28"/>
        </w:rPr>
      </w:pPr>
    </w:p>
    <w:p w14:paraId="123C8319" w14:textId="367E1A45" w:rsidR="00C7465C" w:rsidRDefault="00C7465C" w:rsidP="00984CDE">
      <w:pPr>
        <w:spacing w:after="0" w:line="240" w:lineRule="auto"/>
        <w:jc w:val="center"/>
        <w:rPr>
          <w:rFonts w:ascii="Times New Roman" w:eastAsia="Times New Roman" w:hAnsi="Times New Roman" w:cs="Times New Roman"/>
          <w:b/>
          <w:bCs/>
          <w:sz w:val="28"/>
          <w:szCs w:val="28"/>
        </w:rPr>
      </w:pPr>
    </w:p>
    <w:p w14:paraId="1EC287C9" w14:textId="27DFDEC5" w:rsidR="00C7465C" w:rsidRDefault="00C7465C" w:rsidP="00984CDE">
      <w:pPr>
        <w:spacing w:after="0" w:line="240" w:lineRule="auto"/>
        <w:jc w:val="center"/>
        <w:rPr>
          <w:rFonts w:ascii="Times New Roman" w:eastAsia="Times New Roman" w:hAnsi="Times New Roman" w:cs="Times New Roman"/>
          <w:b/>
          <w:bCs/>
          <w:sz w:val="28"/>
          <w:szCs w:val="28"/>
        </w:rPr>
      </w:pPr>
    </w:p>
    <w:p w14:paraId="5272009C" w14:textId="7A8E40BA" w:rsidR="00C7465C" w:rsidRDefault="00C7465C" w:rsidP="00984CDE">
      <w:pPr>
        <w:spacing w:after="0" w:line="240" w:lineRule="auto"/>
        <w:jc w:val="center"/>
        <w:rPr>
          <w:rFonts w:ascii="Times New Roman" w:eastAsia="Times New Roman" w:hAnsi="Times New Roman" w:cs="Times New Roman"/>
          <w:b/>
          <w:bCs/>
          <w:sz w:val="28"/>
          <w:szCs w:val="28"/>
        </w:rPr>
      </w:pPr>
    </w:p>
    <w:p w14:paraId="3E561A87" w14:textId="084489BC" w:rsidR="00C7465C" w:rsidRDefault="00C7465C" w:rsidP="00984CDE">
      <w:pPr>
        <w:spacing w:after="0" w:line="240" w:lineRule="auto"/>
        <w:jc w:val="center"/>
        <w:rPr>
          <w:rFonts w:ascii="Times New Roman" w:eastAsia="Times New Roman" w:hAnsi="Times New Roman" w:cs="Times New Roman"/>
          <w:b/>
          <w:bCs/>
          <w:sz w:val="28"/>
          <w:szCs w:val="28"/>
        </w:rPr>
      </w:pPr>
    </w:p>
    <w:p w14:paraId="486498DC" w14:textId="5649062A" w:rsidR="00C7465C" w:rsidRDefault="00C7465C" w:rsidP="00984CDE">
      <w:pPr>
        <w:spacing w:after="0" w:line="240" w:lineRule="auto"/>
        <w:jc w:val="center"/>
        <w:rPr>
          <w:rFonts w:ascii="Times New Roman" w:eastAsia="Times New Roman" w:hAnsi="Times New Roman" w:cs="Times New Roman"/>
          <w:b/>
          <w:bCs/>
          <w:sz w:val="28"/>
          <w:szCs w:val="28"/>
        </w:rPr>
      </w:pPr>
    </w:p>
    <w:p w14:paraId="4A7E55B8" w14:textId="6BAB533A" w:rsidR="00C7465C" w:rsidRDefault="00C7465C" w:rsidP="00984CDE">
      <w:pPr>
        <w:spacing w:after="0" w:line="240" w:lineRule="auto"/>
        <w:jc w:val="center"/>
        <w:rPr>
          <w:rFonts w:ascii="Times New Roman" w:eastAsia="Times New Roman" w:hAnsi="Times New Roman" w:cs="Times New Roman"/>
          <w:b/>
          <w:bCs/>
          <w:sz w:val="28"/>
          <w:szCs w:val="28"/>
        </w:rPr>
      </w:pPr>
    </w:p>
    <w:p w14:paraId="26A4BAAE" w14:textId="189A5A30" w:rsidR="00C7465C" w:rsidRDefault="00C7465C" w:rsidP="00984CDE">
      <w:pPr>
        <w:spacing w:after="0" w:line="240" w:lineRule="auto"/>
        <w:jc w:val="center"/>
        <w:rPr>
          <w:rFonts w:ascii="Times New Roman" w:eastAsia="Times New Roman" w:hAnsi="Times New Roman" w:cs="Times New Roman"/>
          <w:b/>
          <w:bCs/>
          <w:sz w:val="28"/>
          <w:szCs w:val="28"/>
        </w:rPr>
      </w:pPr>
    </w:p>
    <w:p w14:paraId="7482A705" w14:textId="534E64E0" w:rsidR="00C7465C" w:rsidRDefault="00C7465C" w:rsidP="00984CDE">
      <w:pPr>
        <w:spacing w:after="0" w:line="240" w:lineRule="auto"/>
        <w:jc w:val="center"/>
        <w:rPr>
          <w:rFonts w:ascii="Times New Roman" w:eastAsia="Times New Roman" w:hAnsi="Times New Roman" w:cs="Times New Roman"/>
          <w:b/>
          <w:bCs/>
          <w:sz w:val="28"/>
          <w:szCs w:val="28"/>
        </w:rPr>
      </w:pPr>
    </w:p>
    <w:p w14:paraId="0180BB2C" w14:textId="429939A3" w:rsidR="00C7465C" w:rsidRDefault="00C7465C" w:rsidP="00984CDE">
      <w:pPr>
        <w:spacing w:after="0" w:line="240" w:lineRule="auto"/>
        <w:jc w:val="center"/>
        <w:rPr>
          <w:rFonts w:ascii="Times New Roman" w:eastAsia="Times New Roman" w:hAnsi="Times New Roman" w:cs="Times New Roman"/>
          <w:b/>
          <w:bCs/>
          <w:sz w:val="28"/>
          <w:szCs w:val="28"/>
        </w:rPr>
      </w:pPr>
    </w:p>
    <w:p w14:paraId="0B44F3F7" w14:textId="6F501030" w:rsidR="00C7465C" w:rsidRDefault="00C7465C" w:rsidP="00984CDE">
      <w:pPr>
        <w:spacing w:after="0" w:line="240" w:lineRule="auto"/>
        <w:jc w:val="center"/>
        <w:rPr>
          <w:rFonts w:ascii="Times New Roman" w:eastAsia="Times New Roman" w:hAnsi="Times New Roman" w:cs="Times New Roman"/>
          <w:b/>
          <w:bCs/>
          <w:sz w:val="28"/>
          <w:szCs w:val="28"/>
        </w:rPr>
      </w:pPr>
    </w:p>
    <w:p w14:paraId="6D89E9E3" w14:textId="5EDE8B65" w:rsidR="00C7465C" w:rsidRDefault="00C7465C" w:rsidP="00984CDE">
      <w:pPr>
        <w:spacing w:after="0" w:line="240" w:lineRule="auto"/>
        <w:jc w:val="center"/>
        <w:rPr>
          <w:rFonts w:ascii="Times New Roman" w:eastAsia="Times New Roman" w:hAnsi="Times New Roman" w:cs="Times New Roman"/>
          <w:b/>
          <w:bCs/>
          <w:sz w:val="28"/>
          <w:szCs w:val="28"/>
        </w:rPr>
      </w:pPr>
    </w:p>
    <w:p w14:paraId="1A968B1E" w14:textId="1C63C72E" w:rsidR="00C7465C" w:rsidRDefault="00C7465C" w:rsidP="00984CDE">
      <w:pPr>
        <w:spacing w:after="0" w:line="240" w:lineRule="auto"/>
        <w:jc w:val="center"/>
        <w:rPr>
          <w:rFonts w:ascii="Times New Roman" w:eastAsia="Times New Roman" w:hAnsi="Times New Roman" w:cs="Times New Roman"/>
          <w:b/>
          <w:bCs/>
          <w:sz w:val="28"/>
          <w:szCs w:val="28"/>
        </w:rPr>
      </w:pPr>
    </w:p>
    <w:p w14:paraId="3ADCFBEA" w14:textId="4AB90F6E" w:rsidR="00C7465C" w:rsidRDefault="00C7465C" w:rsidP="00984CDE">
      <w:pPr>
        <w:spacing w:after="0" w:line="240" w:lineRule="auto"/>
        <w:jc w:val="center"/>
        <w:rPr>
          <w:rFonts w:ascii="Times New Roman" w:eastAsia="Times New Roman" w:hAnsi="Times New Roman" w:cs="Times New Roman"/>
          <w:b/>
          <w:bCs/>
          <w:sz w:val="28"/>
          <w:szCs w:val="28"/>
        </w:rPr>
      </w:pPr>
    </w:p>
    <w:p w14:paraId="3891DD7B" w14:textId="4EEA8E73" w:rsidR="00C7465C" w:rsidRDefault="00C7465C" w:rsidP="00984CDE">
      <w:pPr>
        <w:spacing w:after="0" w:line="240" w:lineRule="auto"/>
        <w:jc w:val="center"/>
        <w:rPr>
          <w:rFonts w:ascii="Times New Roman" w:eastAsia="Times New Roman" w:hAnsi="Times New Roman" w:cs="Times New Roman"/>
          <w:b/>
          <w:bCs/>
          <w:sz w:val="28"/>
          <w:szCs w:val="28"/>
        </w:rPr>
      </w:pPr>
    </w:p>
    <w:p w14:paraId="1767B8A8" w14:textId="0123C792" w:rsidR="00C7465C" w:rsidRDefault="00C7465C" w:rsidP="00984CDE">
      <w:pPr>
        <w:spacing w:after="0" w:line="240" w:lineRule="auto"/>
        <w:jc w:val="center"/>
        <w:rPr>
          <w:rFonts w:ascii="Times New Roman" w:eastAsia="Times New Roman" w:hAnsi="Times New Roman" w:cs="Times New Roman"/>
          <w:b/>
          <w:bCs/>
          <w:sz w:val="28"/>
          <w:szCs w:val="28"/>
        </w:rPr>
      </w:pPr>
    </w:p>
    <w:p w14:paraId="54ABEAE7" w14:textId="625F88F8" w:rsidR="00C7465C" w:rsidRDefault="00C7465C" w:rsidP="00984CDE">
      <w:pPr>
        <w:spacing w:after="0" w:line="240" w:lineRule="auto"/>
        <w:jc w:val="center"/>
        <w:rPr>
          <w:rFonts w:ascii="Times New Roman" w:eastAsia="Times New Roman" w:hAnsi="Times New Roman" w:cs="Times New Roman"/>
          <w:b/>
          <w:bCs/>
          <w:sz w:val="28"/>
          <w:szCs w:val="28"/>
        </w:rPr>
      </w:pPr>
    </w:p>
    <w:p w14:paraId="06166A5D" w14:textId="24FB2437" w:rsidR="00C7465C" w:rsidRDefault="00C7465C" w:rsidP="00984CDE">
      <w:pPr>
        <w:spacing w:after="0" w:line="240" w:lineRule="auto"/>
        <w:jc w:val="center"/>
        <w:rPr>
          <w:rFonts w:ascii="Times New Roman" w:eastAsia="Times New Roman" w:hAnsi="Times New Roman" w:cs="Times New Roman"/>
          <w:b/>
          <w:bCs/>
          <w:sz w:val="28"/>
          <w:szCs w:val="28"/>
        </w:rPr>
      </w:pPr>
    </w:p>
    <w:p w14:paraId="51A90ED2" w14:textId="5DAA7B02" w:rsidR="00C7465C" w:rsidRDefault="00C7465C" w:rsidP="00984CDE">
      <w:pPr>
        <w:spacing w:after="0" w:line="240" w:lineRule="auto"/>
        <w:jc w:val="center"/>
        <w:rPr>
          <w:rFonts w:ascii="Times New Roman" w:eastAsia="Times New Roman" w:hAnsi="Times New Roman" w:cs="Times New Roman"/>
          <w:b/>
          <w:bCs/>
          <w:sz w:val="28"/>
          <w:szCs w:val="28"/>
        </w:rPr>
      </w:pPr>
    </w:p>
    <w:p w14:paraId="703DEB11" w14:textId="126FE83C" w:rsidR="00C7465C" w:rsidRDefault="00C7465C" w:rsidP="00984CDE">
      <w:pPr>
        <w:spacing w:after="0" w:line="240" w:lineRule="auto"/>
        <w:jc w:val="center"/>
        <w:rPr>
          <w:rFonts w:ascii="Times New Roman" w:eastAsia="Times New Roman" w:hAnsi="Times New Roman" w:cs="Times New Roman"/>
          <w:b/>
          <w:bCs/>
          <w:sz w:val="28"/>
          <w:szCs w:val="28"/>
        </w:rPr>
      </w:pPr>
    </w:p>
    <w:p w14:paraId="6A2CFF6A" w14:textId="5B4F797F" w:rsidR="00C7465C" w:rsidRDefault="00C7465C" w:rsidP="00984CDE">
      <w:pPr>
        <w:spacing w:after="0" w:line="240" w:lineRule="auto"/>
        <w:jc w:val="center"/>
        <w:rPr>
          <w:rFonts w:ascii="Times New Roman" w:eastAsia="Times New Roman" w:hAnsi="Times New Roman" w:cs="Times New Roman"/>
          <w:b/>
          <w:bCs/>
          <w:sz w:val="28"/>
          <w:szCs w:val="28"/>
        </w:rPr>
      </w:pPr>
    </w:p>
    <w:p w14:paraId="12F4DDDF" w14:textId="56F07A98" w:rsidR="00C7465C" w:rsidRDefault="00C7465C" w:rsidP="00984CDE">
      <w:pPr>
        <w:spacing w:after="0" w:line="240" w:lineRule="auto"/>
        <w:jc w:val="center"/>
        <w:rPr>
          <w:rFonts w:ascii="Times New Roman" w:eastAsia="Times New Roman" w:hAnsi="Times New Roman" w:cs="Times New Roman"/>
          <w:b/>
          <w:bCs/>
          <w:sz w:val="28"/>
          <w:szCs w:val="28"/>
        </w:rPr>
      </w:pPr>
    </w:p>
    <w:p w14:paraId="629BF71A" w14:textId="14639124" w:rsidR="00C7465C" w:rsidRDefault="00C7465C" w:rsidP="00984CDE">
      <w:pPr>
        <w:spacing w:after="0" w:line="240" w:lineRule="auto"/>
        <w:jc w:val="center"/>
        <w:rPr>
          <w:rFonts w:ascii="Times New Roman" w:eastAsia="Times New Roman" w:hAnsi="Times New Roman" w:cs="Times New Roman"/>
          <w:b/>
          <w:bCs/>
          <w:sz w:val="28"/>
          <w:szCs w:val="28"/>
        </w:rPr>
      </w:pPr>
    </w:p>
    <w:p w14:paraId="4AC3CCBF" w14:textId="54929DD7" w:rsidR="00C7465C" w:rsidRDefault="00C7465C" w:rsidP="00984CDE">
      <w:pPr>
        <w:spacing w:after="0" w:line="240" w:lineRule="auto"/>
        <w:jc w:val="center"/>
        <w:rPr>
          <w:rFonts w:ascii="Times New Roman" w:eastAsia="Times New Roman" w:hAnsi="Times New Roman" w:cs="Times New Roman"/>
          <w:b/>
          <w:bCs/>
          <w:sz w:val="28"/>
          <w:szCs w:val="28"/>
        </w:rPr>
      </w:pPr>
    </w:p>
    <w:p w14:paraId="17BE34DF" w14:textId="76FF1AD6" w:rsidR="00C7465C" w:rsidRDefault="00C7465C" w:rsidP="00984CDE">
      <w:pPr>
        <w:spacing w:after="0" w:line="240" w:lineRule="auto"/>
        <w:jc w:val="center"/>
        <w:rPr>
          <w:rFonts w:ascii="Times New Roman" w:eastAsia="Times New Roman" w:hAnsi="Times New Roman" w:cs="Times New Roman"/>
          <w:b/>
          <w:bCs/>
          <w:sz w:val="28"/>
          <w:szCs w:val="28"/>
        </w:rPr>
      </w:pPr>
    </w:p>
    <w:p w14:paraId="33B57D0D" w14:textId="548B388F" w:rsidR="00C7465C" w:rsidRDefault="00C7465C" w:rsidP="00984CDE">
      <w:pPr>
        <w:spacing w:after="0" w:line="240" w:lineRule="auto"/>
        <w:jc w:val="center"/>
        <w:rPr>
          <w:rFonts w:ascii="Times New Roman" w:eastAsia="Times New Roman" w:hAnsi="Times New Roman" w:cs="Times New Roman"/>
          <w:b/>
          <w:bCs/>
          <w:sz w:val="28"/>
          <w:szCs w:val="28"/>
        </w:rPr>
      </w:pPr>
    </w:p>
    <w:p w14:paraId="7C05A1CF" w14:textId="7F1D768F" w:rsidR="00C7465C" w:rsidRDefault="00C7465C" w:rsidP="00984CDE">
      <w:pPr>
        <w:spacing w:after="0" w:line="240" w:lineRule="auto"/>
        <w:jc w:val="center"/>
        <w:rPr>
          <w:rFonts w:ascii="Times New Roman" w:eastAsia="Times New Roman" w:hAnsi="Times New Roman" w:cs="Times New Roman"/>
          <w:b/>
          <w:bCs/>
          <w:sz w:val="28"/>
          <w:szCs w:val="28"/>
        </w:rPr>
      </w:pPr>
    </w:p>
    <w:p w14:paraId="1CEBBBF9"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1A96F2A3" w14:textId="77777777" w:rsidR="00984CDE" w:rsidRPr="00984CDE" w:rsidRDefault="00984CDE" w:rsidP="00984CDE">
      <w:pPr>
        <w:spacing w:after="0" w:line="240" w:lineRule="auto"/>
        <w:jc w:val="center"/>
        <w:rPr>
          <w:rFonts w:ascii="Times New Roman" w:eastAsia="Times New Roman" w:hAnsi="Times New Roman" w:cs="Times New Roman"/>
          <w:b/>
          <w:bCs/>
          <w:sz w:val="24"/>
          <w:szCs w:val="24"/>
        </w:rPr>
      </w:pPr>
      <w:r w:rsidRPr="00984CDE">
        <w:rPr>
          <w:rFonts w:ascii="Times New Roman" w:eastAsia="Times New Roman" w:hAnsi="Times New Roman" w:cs="Times New Roman"/>
          <w:b/>
          <w:bCs/>
          <w:sz w:val="24"/>
          <w:szCs w:val="24"/>
        </w:rPr>
        <w:t>FINANŠU PIEDĀVĀJUMS</w:t>
      </w:r>
    </w:p>
    <w:p w14:paraId="2BE70D04" w14:textId="77777777" w:rsidR="00984CDE" w:rsidRPr="00984CDE" w:rsidRDefault="00984CDE" w:rsidP="00984CDE">
      <w:pPr>
        <w:spacing w:after="0" w:line="240" w:lineRule="auto"/>
        <w:jc w:val="center"/>
        <w:rPr>
          <w:rFonts w:ascii="Times New Roman" w:eastAsia="Times New Roman" w:hAnsi="Times New Roman" w:cs="Times New Roman"/>
          <w:sz w:val="24"/>
          <w:szCs w:val="24"/>
        </w:rPr>
      </w:pPr>
    </w:p>
    <w:tbl>
      <w:tblPr>
        <w:tblStyle w:val="Reatabula"/>
        <w:tblW w:w="0" w:type="auto"/>
        <w:tblInd w:w="-106" w:type="dxa"/>
        <w:tblLook w:val="01E0" w:firstRow="1" w:lastRow="1" w:firstColumn="1" w:lastColumn="1" w:noHBand="0" w:noVBand="0"/>
      </w:tblPr>
      <w:tblGrid>
        <w:gridCol w:w="1030"/>
        <w:gridCol w:w="3236"/>
        <w:gridCol w:w="1773"/>
        <w:gridCol w:w="1122"/>
        <w:gridCol w:w="1888"/>
      </w:tblGrid>
      <w:tr w:rsidR="00986BC9" w:rsidRPr="00984CDE" w14:paraId="2678E60F" w14:textId="77777777" w:rsidTr="004F41C1">
        <w:tc>
          <w:tcPr>
            <w:tcW w:w="1030" w:type="dxa"/>
            <w:shd w:val="clear" w:color="auto" w:fill="E6E6E6"/>
          </w:tcPr>
          <w:p w14:paraId="59EB15F6" w14:textId="77777777" w:rsidR="00984CDE" w:rsidRPr="00984CDE" w:rsidRDefault="00984CDE" w:rsidP="00984CDE">
            <w:pPr>
              <w:jc w:val="center"/>
              <w:rPr>
                <w:sz w:val="24"/>
                <w:szCs w:val="24"/>
              </w:rPr>
            </w:pPr>
            <w:r w:rsidRPr="00984CDE">
              <w:rPr>
                <w:sz w:val="24"/>
                <w:szCs w:val="24"/>
              </w:rPr>
              <w:t>Variants</w:t>
            </w:r>
          </w:p>
        </w:tc>
        <w:tc>
          <w:tcPr>
            <w:tcW w:w="3236" w:type="dxa"/>
            <w:shd w:val="clear" w:color="auto" w:fill="E6E6E6"/>
          </w:tcPr>
          <w:p w14:paraId="2AB67175" w14:textId="77777777" w:rsidR="00984CDE" w:rsidRPr="00984CDE" w:rsidRDefault="00984CDE" w:rsidP="00984CDE">
            <w:pPr>
              <w:jc w:val="center"/>
              <w:rPr>
                <w:sz w:val="24"/>
                <w:szCs w:val="24"/>
              </w:rPr>
            </w:pPr>
            <w:r w:rsidRPr="00984CDE">
              <w:rPr>
                <w:sz w:val="24"/>
                <w:szCs w:val="24"/>
              </w:rPr>
              <w:t>Apdrošināmais objekts - ĪPAŠUMS</w:t>
            </w:r>
          </w:p>
        </w:tc>
        <w:tc>
          <w:tcPr>
            <w:tcW w:w="1773" w:type="dxa"/>
            <w:shd w:val="clear" w:color="auto" w:fill="E6E6E6"/>
          </w:tcPr>
          <w:p w14:paraId="342B6F58" w14:textId="77777777" w:rsidR="00984CDE" w:rsidRPr="00984CDE" w:rsidRDefault="00984CDE" w:rsidP="00984CDE">
            <w:pPr>
              <w:jc w:val="center"/>
              <w:rPr>
                <w:sz w:val="24"/>
                <w:szCs w:val="24"/>
              </w:rPr>
            </w:pPr>
            <w:r w:rsidRPr="00984CDE">
              <w:rPr>
                <w:sz w:val="24"/>
                <w:szCs w:val="24"/>
              </w:rPr>
              <w:t xml:space="preserve">Apdrošinājuma summa </w:t>
            </w:r>
          </w:p>
          <w:p w14:paraId="015B54A5" w14:textId="77777777" w:rsidR="00984CDE" w:rsidRPr="00984CDE" w:rsidRDefault="00984CDE" w:rsidP="00984CDE">
            <w:pPr>
              <w:jc w:val="center"/>
              <w:rPr>
                <w:sz w:val="24"/>
                <w:szCs w:val="24"/>
              </w:rPr>
            </w:pPr>
            <w:r w:rsidRPr="00984CDE">
              <w:rPr>
                <w:sz w:val="24"/>
                <w:szCs w:val="24"/>
              </w:rPr>
              <w:t>EUR</w:t>
            </w:r>
          </w:p>
        </w:tc>
        <w:tc>
          <w:tcPr>
            <w:tcW w:w="1122" w:type="dxa"/>
            <w:shd w:val="clear" w:color="auto" w:fill="E6E6E6"/>
          </w:tcPr>
          <w:p w14:paraId="27CAF0F8" w14:textId="77777777" w:rsidR="00984CDE" w:rsidRPr="00984CDE" w:rsidRDefault="00984CDE" w:rsidP="00984CDE">
            <w:pPr>
              <w:jc w:val="center"/>
              <w:rPr>
                <w:sz w:val="24"/>
                <w:szCs w:val="24"/>
              </w:rPr>
            </w:pPr>
            <w:r w:rsidRPr="00984CDE">
              <w:rPr>
                <w:sz w:val="24"/>
                <w:szCs w:val="24"/>
              </w:rPr>
              <w:t xml:space="preserve">Paša risks ⃰⃰ </w:t>
            </w:r>
          </w:p>
          <w:p w14:paraId="2F8B2852" w14:textId="77777777" w:rsidR="00984CDE" w:rsidRPr="00984CDE" w:rsidRDefault="00984CDE" w:rsidP="00984CDE">
            <w:pPr>
              <w:jc w:val="center"/>
              <w:rPr>
                <w:sz w:val="24"/>
                <w:szCs w:val="24"/>
              </w:rPr>
            </w:pPr>
            <w:r w:rsidRPr="00984CDE">
              <w:rPr>
                <w:sz w:val="24"/>
                <w:szCs w:val="24"/>
              </w:rPr>
              <w:t xml:space="preserve">EUR </w:t>
            </w:r>
          </w:p>
        </w:tc>
        <w:tc>
          <w:tcPr>
            <w:tcW w:w="1888" w:type="dxa"/>
            <w:shd w:val="clear" w:color="auto" w:fill="E6E6E6"/>
          </w:tcPr>
          <w:p w14:paraId="0896A90C" w14:textId="77777777" w:rsidR="00984CDE" w:rsidRPr="00984CDE" w:rsidRDefault="00984CDE" w:rsidP="00984CDE">
            <w:pPr>
              <w:jc w:val="center"/>
              <w:rPr>
                <w:sz w:val="24"/>
                <w:szCs w:val="24"/>
              </w:rPr>
            </w:pPr>
            <w:r w:rsidRPr="00984CDE">
              <w:rPr>
                <w:sz w:val="24"/>
                <w:szCs w:val="24"/>
              </w:rPr>
              <w:t xml:space="preserve">Apdrošināšanas prēmija </w:t>
            </w:r>
          </w:p>
          <w:p w14:paraId="16DFE5A0" w14:textId="77777777" w:rsidR="00984CDE" w:rsidRPr="00984CDE" w:rsidRDefault="00984CDE" w:rsidP="00984CDE">
            <w:pPr>
              <w:jc w:val="center"/>
              <w:rPr>
                <w:sz w:val="24"/>
                <w:szCs w:val="24"/>
              </w:rPr>
            </w:pPr>
            <w:r w:rsidRPr="00984CDE">
              <w:rPr>
                <w:sz w:val="24"/>
                <w:szCs w:val="24"/>
              </w:rPr>
              <w:t>EUR</w:t>
            </w:r>
          </w:p>
        </w:tc>
      </w:tr>
      <w:tr w:rsidR="00986BC9" w:rsidRPr="00984CDE" w14:paraId="1FED5FB6" w14:textId="77777777" w:rsidTr="004F41C1">
        <w:tc>
          <w:tcPr>
            <w:tcW w:w="1030" w:type="dxa"/>
          </w:tcPr>
          <w:p w14:paraId="071E8EC1" w14:textId="23393CC9" w:rsidR="00984CDE" w:rsidRPr="00984CDE" w:rsidRDefault="004F41C1" w:rsidP="00984CDE">
            <w:pPr>
              <w:jc w:val="center"/>
              <w:rPr>
                <w:sz w:val="24"/>
                <w:szCs w:val="24"/>
              </w:rPr>
            </w:pPr>
            <w:r>
              <w:rPr>
                <w:sz w:val="24"/>
                <w:szCs w:val="24"/>
              </w:rPr>
              <w:t>1.</w:t>
            </w:r>
          </w:p>
        </w:tc>
        <w:tc>
          <w:tcPr>
            <w:tcW w:w="3236" w:type="dxa"/>
          </w:tcPr>
          <w:p w14:paraId="3A572DE9" w14:textId="23EBA39D" w:rsidR="00984CDE" w:rsidRPr="00984CDE" w:rsidRDefault="00984CDE" w:rsidP="00984CDE">
            <w:pPr>
              <w:jc w:val="center"/>
              <w:rPr>
                <w:sz w:val="24"/>
                <w:szCs w:val="24"/>
              </w:rPr>
            </w:pPr>
            <w:r w:rsidRPr="00984CDE">
              <w:rPr>
                <w:sz w:val="24"/>
                <w:szCs w:val="24"/>
              </w:rPr>
              <w:t>Ēka</w:t>
            </w:r>
            <w:r w:rsidR="004F41C1">
              <w:rPr>
                <w:sz w:val="24"/>
                <w:szCs w:val="24"/>
              </w:rPr>
              <w:t>s/būves</w:t>
            </w:r>
          </w:p>
        </w:tc>
        <w:tc>
          <w:tcPr>
            <w:tcW w:w="1773" w:type="dxa"/>
          </w:tcPr>
          <w:p w14:paraId="3D8910C9" w14:textId="3FD274E7" w:rsidR="00984CDE" w:rsidRPr="00984CDE" w:rsidRDefault="004F41C1" w:rsidP="004F41C1">
            <w:pPr>
              <w:rPr>
                <w:sz w:val="24"/>
                <w:szCs w:val="24"/>
              </w:rPr>
            </w:pPr>
            <w:r w:rsidRPr="004F41C1">
              <w:rPr>
                <w:sz w:val="24"/>
                <w:szCs w:val="24"/>
              </w:rPr>
              <w:t>377 371 172,00</w:t>
            </w:r>
          </w:p>
        </w:tc>
        <w:tc>
          <w:tcPr>
            <w:tcW w:w="1122" w:type="dxa"/>
          </w:tcPr>
          <w:p w14:paraId="4E55B59A" w14:textId="13DDD6A8" w:rsidR="00984CDE" w:rsidRPr="00984CDE" w:rsidRDefault="004F41C1" w:rsidP="00984CDE">
            <w:pPr>
              <w:jc w:val="center"/>
              <w:rPr>
                <w:sz w:val="24"/>
                <w:szCs w:val="24"/>
              </w:rPr>
            </w:pPr>
            <w:r>
              <w:rPr>
                <w:sz w:val="24"/>
                <w:szCs w:val="24"/>
              </w:rPr>
              <w:t>150,00</w:t>
            </w:r>
          </w:p>
        </w:tc>
        <w:tc>
          <w:tcPr>
            <w:tcW w:w="1888" w:type="dxa"/>
          </w:tcPr>
          <w:p w14:paraId="4924B2D5" w14:textId="77777777" w:rsidR="00984CDE" w:rsidRPr="00984CDE" w:rsidRDefault="00984CDE" w:rsidP="00984CDE">
            <w:pPr>
              <w:jc w:val="center"/>
              <w:rPr>
                <w:sz w:val="24"/>
                <w:szCs w:val="24"/>
              </w:rPr>
            </w:pPr>
          </w:p>
        </w:tc>
      </w:tr>
    </w:tbl>
    <w:p w14:paraId="0623556A"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1490690D" w14:textId="77777777" w:rsidR="00984CDE" w:rsidRPr="00984CDE" w:rsidRDefault="00984CDE" w:rsidP="00984CDE">
      <w:pPr>
        <w:spacing w:after="0" w:line="240" w:lineRule="auto"/>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 Stiklojumam paša risks nevar būt lielāks par EUR 70,00</w:t>
      </w:r>
    </w:p>
    <w:p w14:paraId="031ACB47"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35F51512"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163628D0" w14:textId="77777777" w:rsidR="00984CDE" w:rsidRPr="00984CDE" w:rsidRDefault="00984CDE" w:rsidP="00984CDE">
      <w:pPr>
        <w:spacing w:after="0" w:line="240" w:lineRule="auto"/>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Pretendents (paraksta pretendenta vadītājs vai pilnvarotā persona___________________________</w:t>
      </w:r>
    </w:p>
    <w:p w14:paraId="36C872CE"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42E90800"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00E4C690" w14:textId="77777777" w:rsidR="00984CDE" w:rsidRPr="00984CDE" w:rsidRDefault="00984CDE" w:rsidP="00984CDE">
      <w:pPr>
        <w:spacing w:after="0" w:line="240" w:lineRule="auto"/>
        <w:rPr>
          <w:rFonts w:ascii="Times New Roman" w:eastAsia="Times New Roman" w:hAnsi="Times New Roman" w:cs="Times New Roman"/>
          <w:sz w:val="24"/>
          <w:szCs w:val="24"/>
        </w:rPr>
      </w:pPr>
    </w:p>
    <w:p w14:paraId="63A23EA1" w14:textId="77777777" w:rsidR="00984CDE" w:rsidRPr="00984CDE" w:rsidRDefault="00984CDE" w:rsidP="00984CDE">
      <w:pPr>
        <w:spacing w:after="0" w:line="240" w:lineRule="auto"/>
        <w:rPr>
          <w:rFonts w:ascii="Times New Roman" w:eastAsia="Times New Roman" w:hAnsi="Times New Roman" w:cs="Times New Roman"/>
          <w:sz w:val="24"/>
          <w:szCs w:val="24"/>
        </w:rPr>
      </w:pPr>
      <w:r w:rsidRPr="00984CDE">
        <w:rPr>
          <w:rFonts w:ascii="Times New Roman" w:eastAsia="Times New Roman" w:hAnsi="Times New Roman" w:cs="Times New Roman"/>
          <w:sz w:val="24"/>
          <w:szCs w:val="24"/>
        </w:rPr>
        <w:t>Paraksts _____________                                       z.v.                              Amats</w:t>
      </w:r>
    </w:p>
    <w:p w14:paraId="624988CB"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3A11C50A"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56C0DCAF"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3FDF0D6D"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B12DEFE"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4E01B2A7"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322F9E97"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7E3CC3D"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291F21A5"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2A5A767B"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B8027B8"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2E80B249"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1A44587D"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4B036F34"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5DCDF5C8"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415AD5F8"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54CF5C8A"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321E04FB"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44B1EBC6"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78AED58E"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643A57D"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4C30A4D2"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012FE229"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2503F884"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2461AD95"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524CF300"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6D131C3A" w14:textId="77777777" w:rsidR="00984CDE" w:rsidRPr="00984CDE" w:rsidRDefault="00984CDE" w:rsidP="00984CDE">
      <w:pPr>
        <w:spacing w:after="0" w:line="240" w:lineRule="auto"/>
        <w:jc w:val="center"/>
        <w:rPr>
          <w:rFonts w:ascii="Times New Roman" w:eastAsia="Times New Roman" w:hAnsi="Times New Roman" w:cs="Times New Roman"/>
          <w:b/>
          <w:bCs/>
          <w:sz w:val="28"/>
          <w:szCs w:val="28"/>
        </w:rPr>
      </w:pPr>
    </w:p>
    <w:p w14:paraId="112EE1B2" w14:textId="77777777" w:rsidR="00AA03F0" w:rsidRDefault="00AA03F0" w:rsidP="00984CDE">
      <w:pPr>
        <w:spacing w:before="20" w:after="20" w:line="240" w:lineRule="auto"/>
        <w:jc w:val="both"/>
        <w:rPr>
          <w:rFonts w:ascii="Times New Roman" w:eastAsia="Times New Roman" w:hAnsi="Times New Roman" w:cs="Times New Roman"/>
          <w:b/>
          <w:bCs/>
          <w:w w:val="101"/>
          <w:sz w:val="28"/>
          <w:szCs w:val="28"/>
          <w:u w:val="single"/>
        </w:rPr>
      </w:pPr>
    </w:p>
    <w:p w14:paraId="4E95309F" w14:textId="77777777" w:rsidR="00AA03F0" w:rsidRDefault="00AA03F0" w:rsidP="00984CDE">
      <w:pPr>
        <w:spacing w:before="20" w:after="20" w:line="240" w:lineRule="auto"/>
        <w:jc w:val="both"/>
        <w:rPr>
          <w:rFonts w:ascii="Times New Roman" w:eastAsia="Times New Roman" w:hAnsi="Times New Roman" w:cs="Times New Roman"/>
          <w:b/>
          <w:bCs/>
          <w:w w:val="101"/>
          <w:sz w:val="28"/>
          <w:szCs w:val="28"/>
          <w:u w:val="single"/>
        </w:rPr>
      </w:pPr>
    </w:p>
    <w:p w14:paraId="4C771E20" w14:textId="77777777" w:rsidR="00AA03F0" w:rsidRDefault="00AA03F0" w:rsidP="00984CDE">
      <w:pPr>
        <w:spacing w:before="20" w:after="20" w:line="240" w:lineRule="auto"/>
        <w:jc w:val="both"/>
        <w:rPr>
          <w:rFonts w:ascii="Times New Roman" w:eastAsia="Times New Roman" w:hAnsi="Times New Roman" w:cs="Times New Roman"/>
          <w:b/>
          <w:bCs/>
          <w:w w:val="101"/>
          <w:sz w:val="28"/>
          <w:szCs w:val="28"/>
          <w:u w:val="single"/>
        </w:rPr>
      </w:pPr>
    </w:p>
    <w:sectPr w:rsidR="00AA03F0" w:rsidSect="00CB6F80">
      <w:pgSz w:w="11906" w:h="16838"/>
      <w:pgMar w:top="426"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9A"/>
    <w:rsid w:val="00166A5D"/>
    <w:rsid w:val="0019163F"/>
    <w:rsid w:val="00191F3E"/>
    <w:rsid w:val="00230D93"/>
    <w:rsid w:val="002324BA"/>
    <w:rsid w:val="002919D9"/>
    <w:rsid w:val="002C364B"/>
    <w:rsid w:val="002C5343"/>
    <w:rsid w:val="00383043"/>
    <w:rsid w:val="00446207"/>
    <w:rsid w:val="00464EE5"/>
    <w:rsid w:val="00477A08"/>
    <w:rsid w:val="004F41C1"/>
    <w:rsid w:val="004F760B"/>
    <w:rsid w:val="00513F58"/>
    <w:rsid w:val="00520C29"/>
    <w:rsid w:val="00610724"/>
    <w:rsid w:val="00642C11"/>
    <w:rsid w:val="00693B64"/>
    <w:rsid w:val="006E2C6B"/>
    <w:rsid w:val="0077409A"/>
    <w:rsid w:val="00780277"/>
    <w:rsid w:val="007E3BA8"/>
    <w:rsid w:val="008C0784"/>
    <w:rsid w:val="008E2EC0"/>
    <w:rsid w:val="009252CD"/>
    <w:rsid w:val="009754D9"/>
    <w:rsid w:val="00984CDE"/>
    <w:rsid w:val="00986BC9"/>
    <w:rsid w:val="009D65E8"/>
    <w:rsid w:val="00AA03F0"/>
    <w:rsid w:val="00AF22EF"/>
    <w:rsid w:val="00B2712F"/>
    <w:rsid w:val="00B32101"/>
    <w:rsid w:val="00C7465C"/>
    <w:rsid w:val="00D06261"/>
    <w:rsid w:val="00D2669B"/>
    <w:rsid w:val="00D50E36"/>
    <w:rsid w:val="00DE5A3F"/>
    <w:rsid w:val="00E0721F"/>
    <w:rsid w:val="00E1039D"/>
    <w:rsid w:val="00E95E1C"/>
    <w:rsid w:val="00ED193E"/>
    <w:rsid w:val="00F27DDB"/>
    <w:rsid w:val="00F813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D341"/>
  <w15:docId w15:val="{C8DE690B-D0FE-4E90-BAC3-72543C5F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984CDE"/>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54">
      <w:bodyDiv w:val="1"/>
      <w:marLeft w:val="0"/>
      <w:marRight w:val="0"/>
      <w:marTop w:val="0"/>
      <w:marBottom w:val="0"/>
      <w:divBdr>
        <w:top w:val="none" w:sz="0" w:space="0" w:color="auto"/>
        <w:left w:val="none" w:sz="0" w:space="0" w:color="auto"/>
        <w:bottom w:val="none" w:sz="0" w:space="0" w:color="auto"/>
        <w:right w:val="none" w:sz="0" w:space="0" w:color="auto"/>
      </w:divBdr>
    </w:div>
    <w:div w:id="434642916">
      <w:bodyDiv w:val="1"/>
      <w:marLeft w:val="0"/>
      <w:marRight w:val="0"/>
      <w:marTop w:val="0"/>
      <w:marBottom w:val="0"/>
      <w:divBdr>
        <w:top w:val="none" w:sz="0" w:space="0" w:color="auto"/>
        <w:left w:val="none" w:sz="0" w:space="0" w:color="auto"/>
        <w:bottom w:val="none" w:sz="0" w:space="0" w:color="auto"/>
        <w:right w:val="none" w:sz="0" w:space="0" w:color="auto"/>
      </w:divBdr>
    </w:div>
    <w:div w:id="775904747">
      <w:bodyDiv w:val="1"/>
      <w:marLeft w:val="0"/>
      <w:marRight w:val="0"/>
      <w:marTop w:val="0"/>
      <w:marBottom w:val="0"/>
      <w:divBdr>
        <w:top w:val="none" w:sz="0" w:space="0" w:color="auto"/>
        <w:left w:val="none" w:sz="0" w:space="0" w:color="auto"/>
        <w:bottom w:val="none" w:sz="0" w:space="0" w:color="auto"/>
        <w:right w:val="none" w:sz="0" w:space="0" w:color="auto"/>
      </w:divBdr>
    </w:div>
    <w:div w:id="9917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4352</Words>
  <Characters>2482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Križanovska</dc:creator>
  <cp:lastModifiedBy>Inga Zilberga</cp:lastModifiedBy>
  <cp:revision>3</cp:revision>
  <dcterms:created xsi:type="dcterms:W3CDTF">2022-07-06T12:46:00Z</dcterms:created>
  <dcterms:modified xsi:type="dcterms:W3CDTF">2022-07-06T13:13:00Z</dcterms:modified>
</cp:coreProperties>
</file>