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6C" w:rsidRPr="00E66365" w:rsidRDefault="0066226C" w:rsidP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E66365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:rsidR="0066226C" w:rsidRPr="00E66365" w:rsidRDefault="0066226C" w:rsidP="00E663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6365">
        <w:rPr>
          <w:rFonts w:ascii="Times New Roman" w:hAnsi="Times New Roman" w:cs="Times New Roman"/>
          <w:bCs/>
          <w:sz w:val="24"/>
          <w:szCs w:val="24"/>
        </w:rPr>
        <w:t>sarunu procedūrā, publicējot dalības uzaicinājumu:</w:t>
      </w:r>
    </w:p>
    <w:p w:rsidR="0066226C" w:rsidRPr="00E66365" w:rsidRDefault="0066226C" w:rsidP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E66365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E66365" w:rsidRPr="00E66365">
        <w:rPr>
          <w:rFonts w:ascii="Times New Roman" w:hAnsi="Times New Roman" w:cs="Times New Roman"/>
          <w:b/>
          <w:bCs/>
          <w:sz w:val="24"/>
          <w:szCs w:val="24"/>
        </w:rPr>
        <w:t>Lieldatora un tīkla disku masīva noma pieciem gadiem</w:t>
      </w:r>
      <w:r w:rsidRPr="00E6636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66365" w:rsidRPr="00E66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7FD9" w:rsidRPr="0066226C" w:rsidRDefault="00797FD9" w:rsidP="0066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lang w:eastAsia="lv-LV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402"/>
        <w:gridCol w:w="5387"/>
      </w:tblGrid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1. </w:t>
            </w:r>
          </w:p>
        </w:tc>
        <w:tc>
          <w:tcPr>
            <w:tcW w:w="3402" w:type="dxa"/>
          </w:tcPr>
          <w:p w:rsidR="00A81943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sabiedrisko pakalpojumu sniedzēja nosaukums un adrese, </w:t>
            </w:r>
          </w:p>
          <w:p w:rsidR="00A81943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iepirkuma identifikācijas numurs,</w:t>
            </w:r>
          </w:p>
          <w:p w:rsidR="00A81943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iepirkuma procedūras veids un tās izvēles pamatojums,</w:t>
            </w:r>
          </w:p>
          <w:p w:rsidR="0066226C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kā arī iepirkuma līguma vai vispārīgās vienošanās priekšmets;</w:t>
            </w:r>
          </w:p>
        </w:tc>
        <w:tc>
          <w:tcPr>
            <w:tcW w:w="5387" w:type="dxa"/>
          </w:tcPr>
          <w:p w:rsidR="00E66365" w:rsidRPr="00A81943" w:rsidRDefault="00E66365" w:rsidP="006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43">
              <w:rPr>
                <w:rFonts w:ascii="Times New Roman" w:hAnsi="Times New Roman" w:cs="Times New Roman"/>
                <w:sz w:val="24"/>
                <w:szCs w:val="24"/>
              </w:rPr>
              <w:t>-VAS „Latvijas dzelzceļš”, Gogoļa iela 3, Rīga, LV-1547</w:t>
            </w:r>
            <w:r w:rsidR="00A81943" w:rsidRPr="00A81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D87" w:rsidRPr="00A81943" w:rsidRDefault="00E66365" w:rsidP="00642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943">
              <w:rPr>
                <w:rFonts w:ascii="Times New Roman" w:hAnsi="Times New Roman" w:cs="Times New Roman"/>
                <w:sz w:val="24"/>
                <w:szCs w:val="24"/>
              </w:rPr>
              <w:t>-LDZ 2016/16-IB</w:t>
            </w:r>
            <w:r w:rsidR="00A81943" w:rsidRPr="00A81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365" w:rsidRPr="00A81943" w:rsidRDefault="00E66365" w:rsidP="00642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-sarunu procedūra, </w:t>
            </w:r>
            <w:r w:rsidR="00A81943" w:rsidRPr="00A81943">
              <w:rPr>
                <w:rFonts w:ascii="Times New Roman" w:hAnsi="Times New Roman" w:cs="Times New Roman"/>
                <w:bCs/>
                <w:sz w:val="24"/>
                <w:szCs w:val="24"/>
              </w:rPr>
              <w:t>publicējot dalības uzaicinājumu;</w:t>
            </w:r>
          </w:p>
          <w:p w:rsidR="00A3718F" w:rsidRPr="00A81943" w:rsidRDefault="00E66365" w:rsidP="00A371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 iepirkums organizēts</w:t>
            </w:r>
            <w:r w:rsidR="00675DE3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saskaņā ar Sabiedrisko pakalpojumu sniedzēju iepirkumu likuma (spēkā līdz 30.04.2017.) un iekšējo normatīvo aktu noteikumiem</w:t>
            </w:r>
            <w:r w:rsidR="00A3718F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lai arī turpmāk</w:t>
            </w:r>
            <w:r w:rsidR="006F18F6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tiktu </w:t>
            </w:r>
            <w:r w:rsidR="00A3718F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F18F6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nodrošināta</w:t>
            </w:r>
            <w:r w:rsidR="00A3718F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F18F6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atbilstoša</w:t>
            </w:r>
            <w:r w:rsidR="00A3718F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F18F6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IT </w:t>
            </w:r>
            <w:r w:rsidR="00A3718F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infras</w:t>
            </w:r>
            <w:r w:rsidR="00C804C6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truktūra</w:t>
            </w:r>
            <w:r w:rsidR="006F18F6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 apsaimniekošana</w:t>
            </w:r>
            <w:r w:rsidR="00A3718F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kravas un pasažieru transporta pakalpojumu sniegšanai Latvijas Republikas teritorijā un ārpus tās</w:t>
            </w:r>
            <w:r w:rsidR="00A81943" w:rsidRPr="00A81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A81943" w:rsidRPr="00A81943" w:rsidRDefault="00A81943" w:rsidP="00A371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81943">
              <w:rPr>
                <w:rFonts w:ascii="Times New Roman" w:hAnsi="Times New Roman" w:cs="Times New Roman"/>
                <w:bCs/>
                <w:sz w:val="24"/>
                <w:szCs w:val="24"/>
              </w:rPr>
              <w:t>- lieldatora un tīkla disku masīva noma  pieciem gadiem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2. </w:t>
            </w:r>
          </w:p>
        </w:tc>
        <w:tc>
          <w:tcPr>
            <w:tcW w:w="3402" w:type="dxa"/>
          </w:tcPr>
          <w:p w:rsidR="00A81943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datums, kad paziņojums par līgumu un periodiskais informatīvais paziņojums, ja tāds ir izmantots,</w:t>
            </w:r>
          </w:p>
          <w:p w:rsidR="00A81943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publicēts Eiropas Savienības Oficiālajā Vēstnesī,</w:t>
            </w:r>
          </w:p>
          <w:p w:rsidR="0066226C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un Iepirkumu uzraudzības biroja tīmekļvietnē;</w:t>
            </w:r>
          </w:p>
        </w:tc>
        <w:tc>
          <w:tcPr>
            <w:tcW w:w="5387" w:type="dxa"/>
          </w:tcPr>
          <w:p w:rsidR="0066226C" w:rsidRPr="00A81943" w:rsidRDefault="00A81943" w:rsidP="006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uzraudzības biroja tīmekļvietnē – 29.07.</w:t>
            </w:r>
            <w:r w:rsidRPr="00A81943">
              <w:rPr>
                <w:rFonts w:ascii="Times New Roman" w:hAnsi="Times New Roman" w:cs="Times New Roman"/>
                <w:sz w:val="24"/>
                <w:szCs w:val="24"/>
              </w:rPr>
              <w:t>2016.;</w:t>
            </w:r>
          </w:p>
          <w:p w:rsidR="00A81943" w:rsidRPr="00A81943" w:rsidRDefault="00A81943" w:rsidP="006422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 – 02.08.2016.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3. </w:t>
            </w:r>
          </w:p>
        </w:tc>
        <w:tc>
          <w:tcPr>
            <w:tcW w:w="3402" w:type="dxa"/>
          </w:tcPr>
          <w:p w:rsidR="00A81943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iepirkuma komisijas sastāvs</w:t>
            </w:r>
          </w:p>
          <w:p w:rsidR="00A81943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un tās izveidošanas pamatojums, </w:t>
            </w:r>
          </w:p>
          <w:p w:rsidR="0066226C" w:rsidRPr="00A81943" w:rsidRDefault="0066226C" w:rsidP="00D716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81943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iepirkuma procedūras dokumentu sagatavotāji un pieaicinātie eksperti;</w:t>
            </w:r>
          </w:p>
        </w:tc>
        <w:tc>
          <w:tcPr>
            <w:tcW w:w="5387" w:type="dxa"/>
          </w:tcPr>
          <w:p w:rsidR="00A81943" w:rsidRPr="00A06DC4" w:rsidRDefault="00075D44" w:rsidP="00953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81943" w:rsidRPr="00A06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astāvs -  </w:t>
            </w:r>
            <w:r w:rsidR="00A81943" w:rsidRPr="00A06DC4">
              <w:rPr>
                <w:rFonts w:ascii="Times New Roman" w:hAnsi="Times New Roman" w:cs="Times New Roman"/>
                <w:sz w:val="24"/>
                <w:szCs w:val="24"/>
              </w:rPr>
              <w:t>VAS „Latvijas dzelzceļš” IT, juridiskā atbalsta, Finanšu struktūrvienību, kā arī Iepirkumu biroja pārstāvji</w:t>
            </w:r>
          </w:p>
          <w:p w:rsidR="00153D87" w:rsidRPr="00A06DC4" w:rsidRDefault="00A81943" w:rsidP="009539C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06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A06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Sabiedrisko pakalpojumu sniedzēju iepirkumu likuma (spēkā līdz 30.04.2017.) un iekšējo normatīvo aktu noteikumiem;</w:t>
            </w:r>
          </w:p>
          <w:p w:rsidR="00A81943" w:rsidRPr="00A06DC4" w:rsidRDefault="00A81943" w:rsidP="009539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06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</w:t>
            </w:r>
            <w:r w:rsidRPr="00A0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: </w:t>
            </w:r>
            <w:r w:rsidRPr="00A06DC4">
              <w:rPr>
                <w:rFonts w:ascii="Times New Roman" w:hAnsi="Times New Roman" w:cs="Times New Roman"/>
                <w:sz w:val="24"/>
                <w:szCs w:val="24"/>
              </w:rPr>
              <w:t>VAS „Latvijas dzelzceļš” Iepirkuma biroja iepirkumu speciāliste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4. </w:t>
            </w:r>
          </w:p>
        </w:tc>
        <w:tc>
          <w:tcPr>
            <w:tcW w:w="3402" w:type="dxa"/>
          </w:tcPr>
          <w:p w:rsidR="0066226C" w:rsidRPr="00D716CC" w:rsidRDefault="0066226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pieteikumu un sākotnējo piedāvājumu iesniegšanas termiņš;</w:t>
            </w:r>
          </w:p>
        </w:tc>
        <w:tc>
          <w:tcPr>
            <w:tcW w:w="5387" w:type="dxa"/>
          </w:tcPr>
          <w:p w:rsidR="0026444A" w:rsidRPr="00A06DC4" w:rsidRDefault="00A06DC4" w:rsidP="009539C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06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Pieteikumi – 01.09.2016. plkst.10.00;</w:t>
            </w:r>
          </w:p>
          <w:p w:rsidR="00A06DC4" w:rsidRPr="00A06DC4" w:rsidRDefault="00A06DC4" w:rsidP="009539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06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Piedāvājumi – 01.11.2016. plkst.10.00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5. 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to piegādātāju nosaukumi, kuri pieteikušies uz kandidātu atlasi, un to pretendentu nosaukumi, kuri ir iesnieguši piedāvājumus, kā arī piedāvātās cenas vai izmaksas;</w:t>
            </w:r>
          </w:p>
        </w:tc>
        <w:tc>
          <w:tcPr>
            <w:tcW w:w="5387" w:type="dxa"/>
          </w:tcPr>
          <w:p w:rsidR="00A06DC4" w:rsidRPr="004F4E33" w:rsidRDefault="00A06DC4" w:rsidP="00A06DC4">
            <w:pPr>
              <w:pStyle w:val="ListParagraph"/>
              <w:numPr>
                <w:ilvl w:val="0"/>
                <w:numId w:val="1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E33">
              <w:rPr>
                <w:rFonts w:ascii="Times New Roman" w:eastAsia="Calibri" w:hAnsi="Times New Roman" w:cs="Times New Roman"/>
                <w:sz w:val="24"/>
                <w:szCs w:val="24"/>
              </w:rPr>
              <w:t>uzņēmums “</w:t>
            </w:r>
            <w:proofErr w:type="spellStart"/>
            <w:r w:rsidRPr="004F4E33">
              <w:rPr>
                <w:rFonts w:ascii="Times New Roman" w:eastAsia="Calibri" w:hAnsi="Times New Roman" w:cs="Times New Roman"/>
                <w:sz w:val="24"/>
                <w:szCs w:val="24"/>
              </w:rPr>
              <w:t>CompFort</w:t>
            </w:r>
            <w:proofErr w:type="spellEnd"/>
            <w:r w:rsidRPr="004F4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E33">
              <w:rPr>
                <w:rFonts w:ascii="Times New Roman" w:eastAsia="Calibri" w:hAnsi="Times New Roman" w:cs="Times New Roman"/>
                <w:sz w:val="24"/>
                <w:szCs w:val="24"/>
              </w:rPr>
              <w:t>Meridian</w:t>
            </w:r>
            <w:proofErr w:type="spellEnd"/>
            <w:r w:rsidRPr="004F4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E33">
              <w:rPr>
                <w:rFonts w:ascii="Times New Roman" w:eastAsia="Calibri" w:hAnsi="Times New Roman" w:cs="Times New Roman"/>
                <w:sz w:val="24"/>
                <w:szCs w:val="24"/>
              </w:rPr>
              <w:t>Polska</w:t>
            </w:r>
            <w:proofErr w:type="spellEnd"/>
            <w:r w:rsidRPr="004F4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S.A.”</w:t>
            </w:r>
            <w:r w:rsidRPr="004F4E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4E33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4F4E33">
              <w:rPr>
                <w:rFonts w:ascii="Times New Roman" w:hAnsi="Times New Roman" w:cs="Times New Roman"/>
                <w:sz w:val="24"/>
                <w:szCs w:val="24"/>
              </w:rPr>
              <w:t>. Nr.0000609612):</w:t>
            </w:r>
          </w:p>
          <w:p w:rsidR="00A06DC4" w:rsidRPr="004F4E33" w:rsidRDefault="00A06DC4" w:rsidP="00A06DC4">
            <w:pPr>
              <w:ind w:left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2 050 243,00 EUR (IBM </w:t>
            </w:r>
            <w:proofErr w:type="spellStart"/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>Software</w:t>
            </w:r>
            <w:proofErr w:type="spellEnd"/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zOS&amp;DB2 iekļauts) bez PVN</w:t>
            </w:r>
          </w:p>
          <w:p w:rsidR="0066226C" w:rsidRPr="004F4E33" w:rsidRDefault="00A06DC4" w:rsidP="00A06DC4">
            <w:pPr>
              <w:ind w:left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852 749,00 EUR(IBM </w:t>
            </w:r>
            <w:proofErr w:type="spellStart"/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>Software</w:t>
            </w:r>
            <w:proofErr w:type="spellEnd"/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zOS&amp;DB2  izslēgts) bez PVN</w:t>
            </w:r>
          </w:p>
          <w:p w:rsidR="00A06DC4" w:rsidRPr="004F4E33" w:rsidRDefault="00A06DC4" w:rsidP="00A06DC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2.- </w:t>
            </w:r>
            <w:r w:rsidRPr="004F4E33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4F4E33">
              <w:rPr>
                <w:rFonts w:ascii="Times New Roman" w:hAnsi="Times New Roman" w:cs="Times New Roman"/>
                <w:sz w:val="24"/>
                <w:szCs w:val="24"/>
              </w:rPr>
              <w:t>Datakom</w:t>
            </w:r>
            <w:proofErr w:type="spellEnd"/>
            <w:r w:rsidRPr="004F4E33">
              <w:rPr>
                <w:rFonts w:ascii="Times New Roman" w:hAnsi="Times New Roman" w:cs="Times New Roman"/>
                <w:sz w:val="24"/>
                <w:szCs w:val="24"/>
              </w:rPr>
              <w:t>”, (reģ.nr.40103142605)</w:t>
            </w:r>
          </w:p>
          <w:p w:rsidR="00A06DC4" w:rsidRPr="00A06DC4" w:rsidRDefault="00A06DC4" w:rsidP="00A06DC4">
            <w:pPr>
              <w:ind w:left="38"/>
              <w:rPr>
                <w:bCs/>
              </w:rPr>
            </w:pPr>
            <w:r w:rsidRPr="004F4E33">
              <w:rPr>
                <w:rFonts w:ascii="Times New Roman" w:hAnsi="Times New Roman" w:cs="Times New Roman"/>
                <w:bCs/>
                <w:sz w:val="24"/>
                <w:szCs w:val="24"/>
              </w:rPr>
              <w:t>1 790 000,00 EUR bez PVN</w:t>
            </w:r>
            <w:r w:rsidR="004F4E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6. 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kandidātu skaita samazināšanas gadījumā norāda izraudzīto kandidātu nosaukumus un to izraudzīšanās iemeslus, noraidīto kandidātu nosaukumus un to noraidīšanas iemeslus;</w:t>
            </w:r>
          </w:p>
        </w:tc>
        <w:tc>
          <w:tcPr>
            <w:tcW w:w="5387" w:type="dxa"/>
          </w:tcPr>
          <w:p w:rsidR="0066226C" w:rsidRPr="00075D44" w:rsidRDefault="00075D44" w:rsidP="00642249">
            <w:p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eastAsia="lv-LV"/>
              </w:rPr>
              <w:t>n</w:t>
            </w:r>
            <w:r w:rsidR="004661F5" w:rsidRPr="00075D44"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eastAsia="lv-LV"/>
              </w:rPr>
              <w:t>etika</w:t>
            </w:r>
            <w:r w:rsidRPr="00075D44"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eastAsia="lv-LV"/>
              </w:rPr>
              <w:t xml:space="preserve"> piemērots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7. 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piedāvājumu skaita samazināšanas gadījumā norāda izraudzīto pretendentu nosaukumus un to izraudzīšanās iemeslus, noraidīto pretendentu nosaukumus un to noraidīšanas iemeslus;</w:t>
            </w:r>
          </w:p>
        </w:tc>
        <w:tc>
          <w:tcPr>
            <w:tcW w:w="5387" w:type="dxa"/>
          </w:tcPr>
          <w:p w:rsidR="0066226C" w:rsidRPr="00075D44" w:rsidRDefault="00075D44" w:rsidP="00642249">
            <w:pPr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eastAsia="lv-LV"/>
              </w:rPr>
              <w:t>n</w:t>
            </w:r>
            <w:r w:rsidRPr="00075D44">
              <w:rPr>
                <w:rFonts w:ascii="Times New Roman" w:eastAsia="Times New Roman" w:hAnsi="Times New Roman" w:cs="Times New Roman"/>
                <w:bCs/>
                <w:color w:val="414142"/>
                <w:sz w:val="24"/>
                <w:szCs w:val="24"/>
                <w:lang w:eastAsia="lv-LV"/>
              </w:rPr>
              <w:t>etika piemērots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8. 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pieteikumu un piedāvājumu atvēršanas vieta, datums un laiks;</w:t>
            </w:r>
          </w:p>
        </w:tc>
        <w:tc>
          <w:tcPr>
            <w:tcW w:w="5387" w:type="dxa"/>
          </w:tcPr>
          <w:p w:rsidR="005C04D2" w:rsidRPr="005C04D2" w:rsidRDefault="005C04D2" w:rsidP="00A0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D2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dzelzceļš”, </w:t>
            </w:r>
            <w:proofErr w:type="spellStart"/>
            <w:r w:rsidRPr="005C04D2">
              <w:rPr>
                <w:rFonts w:ascii="Times New Roman" w:hAnsi="Times New Roman" w:cs="Times New Roman"/>
                <w:sz w:val="24"/>
                <w:szCs w:val="24"/>
              </w:rPr>
              <w:t>Turgeņeva</w:t>
            </w:r>
            <w:proofErr w:type="spellEnd"/>
            <w:r w:rsidRPr="005C04D2">
              <w:rPr>
                <w:rFonts w:ascii="Times New Roman" w:hAnsi="Times New Roman" w:cs="Times New Roman"/>
                <w:sz w:val="24"/>
                <w:szCs w:val="24"/>
              </w:rPr>
              <w:t xml:space="preserve"> ielā 14, Rīga, LV-1547.</w:t>
            </w:r>
          </w:p>
          <w:p w:rsidR="00A06DC4" w:rsidRPr="005C04D2" w:rsidRDefault="00A06DC4" w:rsidP="00A06D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C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Pieteikumi – 01.09.2016. plkst.10.00;</w:t>
            </w:r>
          </w:p>
          <w:p w:rsidR="00A06DC4" w:rsidRPr="005C04D2" w:rsidRDefault="00A06DC4" w:rsidP="00A06D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C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Piedāvājumi – 01.11.2016. plkst.10.00</w:t>
            </w:r>
            <w:r w:rsidR="005C04D2" w:rsidRPr="005C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lastRenderedPageBreak/>
              <w:t>9. 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sarunu posmi un to rezultāti;</w:t>
            </w:r>
          </w:p>
        </w:tc>
        <w:tc>
          <w:tcPr>
            <w:tcW w:w="5387" w:type="dxa"/>
          </w:tcPr>
          <w:p w:rsidR="0026444A" w:rsidRPr="00642249" w:rsidRDefault="005C04D2" w:rsidP="00543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Pretendentam, kas kvalificējās </w:t>
            </w:r>
            <w:r w:rsidRPr="006B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piedāvājuma izvērtēšanai (</w:t>
            </w:r>
            <w:r w:rsidRPr="006B3B50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6B3B50">
              <w:rPr>
                <w:rFonts w:ascii="Times New Roman" w:hAnsi="Times New Roman" w:cs="Times New Roman"/>
                <w:sz w:val="24"/>
                <w:szCs w:val="24"/>
              </w:rPr>
              <w:t>Datakom</w:t>
            </w:r>
            <w:proofErr w:type="spellEnd"/>
            <w:r w:rsidRPr="006B3B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B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 tika lūgts samazināt piedāvājuma cenu, kā rezultātā cena samazināta tika.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10. 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izvēlei;</w:t>
            </w:r>
          </w:p>
        </w:tc>
        <w:tc>
          <w:tcPr>
            <w:tcW w:w="5387" w:type="dxa"/>
          </w:tcPr>
          <w:p w:rsidR="0066226C" w:rsidRPr="006B3B50" w:rsidRDefault="006B3B50" w:rsidP="00642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B50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6B3B50">
              <w:rPr>
                <w:rFonts w:ascii="Times New Roman" w:hAnsi="Times New Roman" w:cs="Times New Roman"/>
                <w:sz w:val="24"/>
                <w:szCs w:val="24"/>
              </w:rPr>
              <w:t>Datakom</w:t>
            </w:r>
            <w:proofErr w:type="spellEnd"/>
            <w:r w:rsidRPr="006B3B50">
              <w:rPr>
                <w:rFonts w:ascii="Times New Roman" w:hAnsi="Times New Roman" w:cs="Times New Roman"/>
                <w:sz w:val="24"/>
                <w:szCs w:val="24"/>
              </w:rPr>
              <w:t xml:space="preserve">” (reģ.nr.40103142605), </w:t>
            </w:r>
            <w:r w:rsidRPr="006B3B50">
              <w:rPr>
                <w:rFonts w:ascii="Times New Roman" w:hAnsi="Times New Roman" w:cs="Times New Roman"/>
                <w:bCs/>
                <w:sz w:val="24"/>
                <w:szCs w:val="24"/>
              </w:rPr>
              <w:t>1 555 000,00 EUR bez PVN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B3B50" w:rsidRPr="008E5391" w:rsidRDefault="006B3B50" w:rsidP="006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50">
              <w:rPr>
                <w:rFonts w:ascii="Times New Roman" w:hAnsi="Times New Roman" w:cs="Times New Roman"/>
                <w:bCs/>
                <w:sz w:val="24"/>
                <w:szCs w:val="24"/>
              </w:rPr>
              <w:t>Iepirkuma procedūras rezultātā tika izvēlēts sarunu procedūras nolikuma prasībām atbilstošs piedāvājums ar cenu, kas VAS “Latvijas dzelzceļš” ir pieņemama un izdevīga.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11. 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nosaukumi;</w:t>
            </w:r>
          </w:p>
        </w:tc>
        <w:tc>
          <w:tcPr>
            <w:tcW w:w="5387" w:type="dxa"/>
          </w:tcPr>
          <w:p w:rsidR="00642249" w:rsidRPr="008E5391" w:rsidRDefault="006B3B50" w:rsidP="006422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E66365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1</w:t>
            </w:r>
            <w:r w:rsidR="00D716CC"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2. 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pamatojums lēmumam par katru noraidīto kandidātu un pretendentu, kā arī par katru iepirkuma procedūras dokumentiem neatbilstošu pieteikumu un piedāvājumu;</w:t>
            </w:r>
          </w:p>
        </w:tc>
        <w:tc>
          <w:tcPr>
            <w:tcW w:w="5387" w:type="dxa"/>
          </w:tcPr>
          <w:p w:rsidR="00831F10" w:rsidRPr="00075D44" w:rsidRDefault="006B3B50" w:rsidP="00075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>Pretendents uzņēmums “</w:t>
            </w:r>
            <w:proofErr w:type="spellStart"/>
            <w:r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>CompFort</w:t>
            </w:r>
            <w:proofErr w:type="spellEnd"/>
            <w:r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>Meridian</w:t>
            </w:r>
            <w:proofErr w:type="spellEnd"/>
            <w:r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>Polska</w:t>
            </w:r>
            <w:proofErr w:type="spellEnd"/>
            <w:r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S.A.” tika noraidīts sakarā ar </w:t>
            </w:r>
            <w:r w:rsidRPr="00075D44">
              <w:rPr>
                <w:rFonts w:ascii="Times New Roman" w:hAnsi="Times New Roman" w:cs="Times New Roman"/>
                <w:bCs/>
                <w:sz w:val="24"/>
                <w:szCs w:val="24"/>
              </w:rPr>
              <w:t>sarunu procedūras nolikuma prasībām neatbilstoša piedāvājuma iesniegšanu</w:t>
            </w:r>
            <w:r w:rsidR="00075D44" w:rsidRPr="00075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75D44" w:rsidRPr="00075D4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075D44" w:rsidRPr="00075D44">
              <w:rPr>
                <w:rFonts w:ascii="Times New Roman" w:hAnsi="Times New Roman" w:cs="Times New Roman"/>
                <w:sz w:val="24"/>
                <w:szCs w:val="24"/>
              </w:rPr>
              <w:t>olikuma 2.pielikuma 1.1.8.punkts, nolikuma 6.3.punkts u.c.)</w:t>
            </w:r>
            <w:r w:rsidR="00075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13</w:t>
            </w:r>
            <w:r w:rsidRPr="00D716CC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lēmuma pamatojums, ja iepirkuma komisija pieņēmusi lēmumu pārtraukt vai izbeigt iepirkuma procedūru;</w:t>
            </w:r>
          </w:p>
        </w:tc>
        <w:tc>
          <w:tcPr>
            <w:tcW w:w="5387" w:type="dxa"/>
          </w:tcPr>
          <w:p w:rsidR="0066226C" w:rsidRPr="00D716CC" w:rsidRDefault="0026444A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-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E66365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1</w:t>
            </w:r>
            <w:r w:rsidR="00D716CC"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4. 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piedāvājuma noraidīšanas pamatojums, ja iepirkuma komisija atzinusi piedāvājumu par nepamatoti lētu;</w:t>
            </w:r>
          </w:p>
        </w:tc>
        <w:tc>
          <w:tcPr>
            <w:tcW w:w="5387" w:type="dxa"/>
          </w:tcPr>
          <w:p w:rsidR="0066226C" w:rsidRPr="00D716CC" w:rsidRDefault="0026444A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-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E66365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1</w:t>
            </w:r>
            <w:r w:rsidR="00D716CC"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5. 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B46DA8"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  <w:t>iemesli, kuru dēļ netiek paredzēta elektroniska pieteikumu un piedāvājumu iesniegšana, ja sabiedrisko pakalpojumu sniedzējam ir pienākums pieteikumu un piedāvājumu saņemšanai izmantot elektroniskās informācijas sistēmas;</w:t>
            </w:r>
          </w:p>
        </w:tc>
        <w:tc>
          <w:tcPr>
            <w:tcW w:w="5387" w:type="dxa"/>
          </w:tcPr>
          <w:p w:rsidR="0066226C" w:rsidRPr="00D716CC" w:rsidRDefault="0026444A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--</w:t>
            </w:r>
          </w:p>
        </w:tc>
      </w:tr>
      <w:tr w:rsidR="0066226C" w:rsidRPr="00D716CC" w:rsidTr="0018755C">
        <w:tc>
          <w:tcPr>
            <w:tcW w:w="704" w:type="dxa"/>
          </w:tcPr>
          <w:p w:rsidR="0066226C" w:rsidRPr="00D716CC" w:rsidRDefault="00D716CC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D716C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16. </w:t>
            </w:r>
          </w:p>
        </w:tc>
        <w:tc>
          <w:tcPr>
            <w:tcW w:w="3402" w:type="dxa"/>
          </w:tcPr>
          <w:p w:rsidR="0066226C" w:rsidRPr="00D716CC" w:rsidRDefault="00D716CC" w:rsidP="00D716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 w:rsidRPr="00D716C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5387" w:type="dxa"/>
          </w:tcPr>
          <w:p w:rsidR="0066226C" w:rsidRPr="00D716CC" w:rsidRDefault="0026444A" w:rsidP="00D716CC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-</w:t>
            </w:r>
          </w:p>
        </w:tc>
      </w:tr>
    </w:tbl>
    <w:p w:rsidR="00B46DA8" w:rsidRDefault="00B46DA8" w:rsidP="00B46DA8">
      <w:pPr>
        <w:rPr>
          <w:rFonts w:ascii="Arial" w:eastAsia="Times New Roman" w:hAnsi="Arial" w:cs="Arial"/>
          <w:b/>
          <w:bCs/>
          <w:color w:val="414142"/>
          <w:sz w:val="35"/>
          <w:szCs w:val="35"/>
          <w:lang w:eastAsia="lv-LV"/>
        </w:rPr>
      </w:pPr>
      <w:bookmarkStart w:id="0" w:name="_GoBack"/>
      <w:bookmarkEnd w:id="0"/>
    </w:p>
    <w:sectPr w:rsidR="00B46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485F"/>
    <w:multiLevelType w:val="hybridMultilevel"/>
    <w:tmpl w:val="D7A8E000"/>
    <w:lvl w:ilvl="0" w:tplc="20826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D6BE6"/>
    <w:multiLevelType w:val="hybridMultilevel"/>
    <w:tmpl w:val="A0A8B5D8"/>
    <w:lvl w:ilvl="0" w:tplc="931AD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69D6"/>
    <w:multiLevelType w:val="hybridMultilevel"/>
    <w:tmpl w:val="027EF8FC"/>
    <w:lvl w:ilvl="0" w:tplc="600640BA">
      <w:start w:val="1"/>
      <w:numFmt w:val="decimal"/>
      <w:lvlText w:val="%1)"/>
      <w:lvlJc w:val="left"/>
      <w:pPr>
        <w:ind w:left="644" w:hanging="360"/>
      </w:pPr>
      <w:rPr>
        <w:lang w:val="lv-LV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A8"/>
    <w:rsid w:val="00075D44"/>
    <w:rsid w:val="00153D87"/>
    <w:rsid w:val="0018755C"/>
    <w:rsid w:val="0026444A"/>
    <w:rsid w:val="00272296"/>
    <w:rsid w:val="004661F5"/>
    <w:rsid w:val="004D0B3E"/>
    <w:rsid w:val="004F4E33"/>
    <w:rsid w:val="005437BC"/>
    <w:rsid w:val="005C04D2"/>
    <w:rsid w:val="00642249"/>
    <w:rsid w:val="0066226C"/>
    <w:rsid w:val="00675DE3"/>
    <w:rsid w:val="006B3B50"/>
    <w:rsid w:val="006F18F6"/>
    <w:rsid w:val="00797FD9"/>
    <w:rsid w:val="007B14D9"/>
    <w:rsid w:val="00831F10"/>
    <w:rsid w:val="008A3796"/>
    <w:rsid w:val="008E5391"/>
    <w:rsid w:val="009539C2"/>
    <w:rsid w:val="00A06DC4"/>
    <w:rsid w:val="00A3718F"/>
    <w:rsid w:val="00A57EA7"/>
    <w:rsid w:val="00A81943"/>
    <w:rsid w:val="00A851AC"/>
    <w:rsid w:val="00B46DA8"/>
    <w:rsid w:val="00B72BFC"/>
    <w:rsid w:val="00C804C6"/>
    <w:rsid w:val="00C952BE"/>
    <w:rsid w:val="00D716CC"/>
    <w:rsid w:val="00E66365"/>
    <w:rsid w:val="00EE22B2"/>
    <w:rsid w:val="00F0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65BAFF-A234-4731-844E-02CBED5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B46DA8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66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118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796F-D3E1-412C-8799-53EA7154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7</cp:revision>
  <cp:lastPrinted>2017-11-06T11:18:00Z</cp:lastPrinted>
  <dcterms:created xsi:type="dcterms:W3CDTF">2017-12-11T11:11:00Z</dcterms:created>
  <dcterms:modified xsi:type="dcterms:W3CDTF">2017-12-18T08:02:00Z</dcterms:modified>
</cp:coreProperties>
</file>