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DB8" w:rsidRDefault="00054DB8" w:rsidP="00054DB8">
      <w:pPr>
        <w:rPr>
          <w:rFonts w:ascii="Times New Roman" w:hAnsi="Times New Roman" w:cs="Times New Roman"/>
          <w:b/>
          <w:i/>
          <w:iCs/>
          <w:sz w:val="24"/>
          <w:szCs w:val="24"/>
        </w:rPr>
      </w:pPr>
      <w:bookmarkStart w:id="0" w:name="_Hlk4487320"/>
    </w:p>
    <w:p w:rsidR="00054DB8" w:rsidRDefault="00054DB8" w:rsidP="00054DB8">
      <w:pPr>
        <w:rPr>
          <w:rFonts w:ascii="Times New Roman" w:hAnsi="Times New Roman" w:cs="Times New Roman"/>
          <w:b/>
          <w:i/>
          <w:iCs/>
          <w:sz w:val="24"/>
          <w:szCs w:val="24"/>
        </w:rPr>
      </w:pPr>
    </w:p>
    <w:p w:rsidR="00054DB8" w:rsidRDefault="00054DB8" w:rsidP="00054DB8">
      <w:pPr>
        <w:rPr>
          <w:rFonts w:ascii="Times New Roman" w:hAnsi="Times New Roman" w:cs="Times New Roman"/>
          <w:b/>
          <w:i/>
          <w:iCs/>
          <w:sz w:val="24"/>
          <w:szCs w:val="24"/>
        </w:rPr>
      </w:pPr>
    </w:p>
    <w:p w:rsidR="00054DB8" w:rsidRPr="00054DB8" w:rsidRDefault="00054DB8" w:rsidP="00054DB8">
      <w:pPr>
        <w:rPr>
          <w:rFonts w:ascii="Times New Roman" w:hAnsi="Times New Roman" w:cs="Times New Roman"/>
          <w:b/>
          <w:i/>
          <w:iCs/>
          <w:sz w:val="24"/>
          <w:szCs w:val="24"/>
        </w:rPr>
      </w:pPr>
      <w:r w:rsidRPr="00054DB8">
        <w:rPr>
          <w:rFonts w:ascii="Times New Roman" w:hAnsi="Times New Roman" w:cs="Times New Roman"/>
          <w:b/>
          <w:i/>
          <w:iCs/>
          <w:sz w:val="24"/>
          <w:szCs w:val="24"/>
        </w:rPr>
        <w:t>Par iepirkuma atvēršanas sēdes izziņošanu (30.04.2019. iepirkuma komisijas sēde)</w:t>
      </w:r>
    </w:p>
    <w:bookmarkEnd w:id="0"/>
    <w:p w:rsidR="00054DB8" w:rsidRPr="00054DB8" w:rsidRDefault="00054DB8" w:rsidP="00054DB8">
      <w:pPr>
        <w:ind w:firstLine="567"/>
        <w:jc w:val="both"/>
        <w:rPr>
          <w:rFonts w:ascii="Times New Roman" w:hAnsi="Times New Roman" w:cs="Times New Roman"/>
          <w:sz w:val="24"/>
          <w:szCs w:val="24"/>
        </w:rPr>
      </w:pPr>
    </w:p>
    <w:p w:rsidR="00054DB8" w:rsidRPr="00054DB8" w:rsidRDefault="00054DB8" w:rsidP="00054DB8">
      <w:pPr>
        <w:ind w:firstLine="567"/>
        <w:jc w:val="both"/>
        <w:rPr>
          <w:rFonts w:ascii="Times New Roman" w:hAnsi="Times New Roman" w:cs="Times New Roman"/>
          <w:sz w:val="24"/>
          <w:szCs w:val="24"/>
          <w:lang w:eastAsia="ru-RU"/>
        </w:rPr>
      </w:pPr>
      <w:r w:rsidRPr="00054DB8">
        <w:rPr>
          <w:rFonts w:ascii="Times New Roman" w:hAnsi="Times New Roman" w:cs="Times New Roman"/>
          <w:sz w:val="24"/>
          <w:szCs w:val="24"/>
        </w:rPr>
        <w:t xml:space="preserve">Pamatojoties uz to, ka Iepirkumu uzraudzības biroja Iesniegumu izskatīšanas komisija 2019.gada 18.aprīlī pieņēmusi lēmumu Nr.4-2.2/19-8 par atklāta </w:t>
      </w:r>
      <w:r w:rsidRPr="00054DB8">
        <w:rPr>
          <w:rFonts w:ascii="Times New Roman" w:hAnsi="Times New Roman" w:cs="Times New Roman"/>
          <w:sz w:val="24"/>
          <w:szCs w:val="24"/>
          <w:shd w:val="clear" w:color="auto" w:fill="FFFFFF"/>
        </w:rPr>
        <w:t>konkursa  </w:t>
      </w:r>
      <w:r w:rsidRPr="00054DB8">
        <w:rPr>
          <w:rFonts w:ascii="Times New Roman" w:hAnsi="Times New Roman" w:cs="Times New Roman"/>
          <w:sz w:val="24"/>
          <w:szCs w:val="24"/>
        </w:rPr>
        <w:t xml:space="preserve">“Digitālo radiosakaru sistēmas ieviešana” (iepirkuma identifikācijas </w:t>
      </w:r>
      <w:bookmarkStart w:id="1" w:name="_GoBack"/>
      <w:bookmarkEnd w:id="1"/>
      <w:r w:rsidRPr="00054DB8">
        <w:rPr>
          <w:rFonts w:ascii="Times New Roman" w:hAnsi="Times New Roman" w:cs="Times New Roman"/>
          <w:sz w:val="24"/>
          <w:szCs w:val="24"/>
        </w:rPr>
        <w:t>Nr. </w:t>
      </w:r>
      <w:r w:rsidRPr="00054DB8">
        <w:rPr>
          <w:rFonts w:ascii="Times New Roman" w:hAnsi="Times New Roman" w:cs="Times New Roman"/>
          <w:sz w:val="24"/>
          <w:szCs w:val="24"/>
          <w:lang w:eastAsia="ru-RU"/>
        </w:rPr>
        <w:t xml:space="preserve">LDZ 2018/11-IB) nolikuma prasībām, atļaujot turpināt iepirkuma procedūru, kā arī </w:t>
      </w:r>
      <w:r w:rsidRPr="00054DB8">
        <w:rPr>
          <w:rFonts w:ascii="Times New Roman" w:hAnsi="Times New Roman" w:cs="Times New Roman"/>
          <w:sz w:val="24"/>
          <w:szCs w:val="24"/>
        </w:rPr>
        <w:t xml:space="preserve">pamatojoties uz </w:t>
      </w:r>
      <w:r w:rsidRPr="00054DB8">
        <w:rPr>
          <w:rFonts w:ascii="Times New Roman" w:hAnsi="Times New Roman" w:cs="Times New Roman"/>
          <w:sz w:val="24"/>
          <w:szCs w:val="24"/>
          <w:shd w:val="clear" w:color="auto" w:fill="FFFFFF"/>
        </w:rPr>
        <w:t xml:space="preserve"> 2017.gada 28.marta Ministru kabineta noteikumiem Nr. 187 “Sabiedrisko pakalpojumu sniedzēju iepirkuma procedūru un metu konkursu norises kārtība” 14.punktā noteikto: </w:t>
      </w:r>
      <w:r w:rsidRPr="00054DB8">
        <w:rPr>
          <w:rFonts w:ascii="Times New Roman" w:hAnsi="Times New Roman" w:cs="Times New Roman"/>
          <w:i/>
          <w:iCs/>
          <w:sz w:val="24"/>
          <w:szCs w:val="24"/>
          <w:shd w:val="clear" w:color="auto" w:fill="FFFFFF"/>
        </w:rPr>
        <w:t>“(..) Ja iesniegumu izskatīšanas komisija pieņem </w:t>
      </w:r>
      <w:hyperlink r:id="rId5" w:tgtFrame="_blank" w:history="1">
        <w:r w:rsidRPr="00054DB8">
          <w:rPr>
            <w:rStyle w:val="Hyperlink"/>
            <w:rFonts w:ascii="Times New Roman" w:hAnsi="Times New Roman" w:cs="Times New Roman"/>
            <w:i/>
            <w:iCs/>
            <w:color w:val="16497B"/>
            <w:sz w:val="24"/>
            <w:szCs w:val="24"/>
            <w:shd w:val="clear" w:color="auto" w:fill="FFFFFF"/>
          </w:rPr>
          <w:t>Sabiedrisko pakalpojumu sniedzēju iepirkumu likuma</w:t>
        </w:r>
      </w:hyperlink>
      <w:r w:rsidRPr="00054DB8">
        <w:rPr>
          <w:rFonts w:ascii="Times New Roman" w:hAnsi="Times New Roman" w:cs="Times New Roman"/>
          <w:i/>
          <w:iCs/>
          <w:color w:val="414142"/>
          <w:sz w:val="24"/>
          <w:szCs w:val="24"/>
          <w:shd w:val="clear" w:color="auto" w:fill="FFFFFF"/>
        </w:rPr>
        <w:t> </w:t>
      </w:r>
      <w:hyperlink r:id="rId6" w:anchor="p75" w:tgtFrame="_blank" w:history="1">
        <w:r w:rsidRPr="00054DB8">
          <w:rPr>
            <w:rStyle w:val="Hyperlink"/>
            <w:rFonts w:ascii="Times New Roman" w:hAnsi="Times New Roman" w:cs="Times New Roman"/>
            <w:i/>
            <w:iCs/>
            <w:color w:val="16497B"/>
            <w:sz w:val="24"/>
            <w:szCs w:val="24"/>
            <w:shd w:val="clear" w:color="auto" w:fill="FFFFFF"/>
          </w:rPr>
          <w:t>75.</w:t>
        </w:r>
      </w:hyperlink>
      <w:r w:rsidRPr="00054DB8">
        <w:rPr>
          <w:rFonts w:ascii="Times New Roman" w:hAnsi="Times New Roman" w:cs="Times New Roman"/>
          <w:i/>
          <w:iCs/>
          <w:color w:val="414142"/>
          <w:sz w:val="24"/>
          <w:szCs w:val="24"/>
          <w:shd w:val="clear" w:color="auto" w:fill="FFFFFF"/>
        </w:rPr>
        <w:t>panta otrās daļas 1. punktā</w:t>
      </w:r>
      <w:r w:rsidRPr="00054DB8">
        <w:rPr>
          <w:rFonts w:ascii="Times New Roman" w:hAnsi="Times New Roman" w:cs="Times New Roman"/>
          <w:color w:val="414142"/>
          <w:sz w:val="24"/>
          <w:szCs w:val="24"/>
          <w:shd w:val="clear" w:color="auto" w:fill="FFFFFF"/>
        </w:rPr>
        <w:t> </w:t>
      </w:r>
      <w:r w:rsidRPr="00054DB8">
        <w:rPr>
          <w:rFonts w:ascii="Times New Roman" w:hAnsi="Times New Roman" w:cs="Times New Roman"/>
          <w:i/>
          <w:iCs/>
          <w:sz w:val="24"/>
          <w:szCs w:val="24"/>
          <w:shd w:val="clear" w:color="auto" w:fill="FFFFFF"/>
        </w:rPr>
        <w:t xml:space="preserve"> minēto lēmumu vai administratīvā lieta tiek izbeigta, sabiedrisko pakalpojumu sniedzējs pircēja profilā publicē informāciju par piedāvājumu atvēršanas sanāksmes vietu un laiku, kā arī informē par to pretendentus vismaz trīs darbdienas iepriekš.(..)</w:t>
      </w:r>
      <w:r w:rsidRPr="00054DB8">
        <w:rPr>
          <w:rFonts w:ascii="Times New Roman" w:hAnsi="Times New Roman" w:cs="Times New Roman"/>
          <w:sz w:val="24"/>
          <w:szCs w:val="24"/>
          <w:shd w:val="clear" w:color="auto" w:fill="FFFFFF"/>
        </w:rPr>
        <w:t xml:space="preserve">” Iepirkuma komisija paziņo, ka 2019.gada 26.martā plkst.10.00 noteiktā piedāvājumu atvēršanas sanāksme </w:t>
      </w:r>
      <w:r w:rsidRPr="00054DB8">
        <w:rPr>
          <w:rFonts w:ascii="Times New Roman" w:hAnsi="Times New Roman" w:cs="Times New Roman"/>
          <w:sz w:val="24"/>
          <w:szCs w:val="24"/>
          <w:lang w:eastAsia="ru-RU"/>
        </w:rPr>
        <w:t xml:space="preserve">tiek pārcelta uz </w:t>
      </w:r>
      <w:r w:rsidRPr="00054DB8">
        <w:rPr>
          <w:rFonts w:ascii="Times New Roman" w:hAnsi="Times New Roman" w:cs="Times New Roman"/>
          <w:b/>
          <w:bCs/>
          <w:sz w:val="24"/>
          <w:szCs w:val="24"/>
          <w:u w:val="single"/>
          <w:lang w:eastAsia="ru-RU"/>
        </w:rPr>
        <w:t>2019.gada 8.maija plkst.10.00</w:t>
      </w:r>
      <w:r w:rsidRPr="00054DB8">
        <w:rPr>
          <w:rFonts w:ascii="Times New Roman" w:hAnsi="Times New Roman" w:cs="Times New Roman"/>
          <w:color w:val="000000"/>
          <w:sz w:val="24"/>
          <w:szCs w:val="24"/>
          <w:lang w:eastAsia="ru-RU"/>
        </w:rPr>
        <w:t xml:space="preserve"> EIS e-konkursu apakšsistēmā</w:t>
      </w:r>
      <w:r w:rsidRPr="00054DB8">
        <w:rPr>
          <w:rFonts w:ascii="Times New Roman" w:hAnsi="Times New Roman" w:cs="Times New Roman"/>
          <w:sz w:val="24"/>
          <w:szCs w:val="24"/>
          <w:lang w:eastAsia="ru-RU"/>
        </w:rPr>
        <w:t>.</w:t>
      </w:r>
    </w:p>
    <w:p w:rsidR="00054DB8" w:rsidRPr="00054DB8" w:rsidRDefault="00054DB8" w:rsidP="00054DB8">
      <w:pPr>
        <w:autoSpaceDE w:val="0"/>
        <w:autoSpaceDN w:val="0"/>
        <w:ind w:firstLine="567"/>
        <w:jc w:val="both"/>
        <w:rPr>
          <w:rFonts w:ascii="Times New Roman" w:hAnsi="Times New Roman" w:cs="Times New Roman"/>
          <w:b/>
          <w:bCs/>
          <w:color w:val="FF0000"/>
          <w:sz w:val="24"/>
          <w:szCs w:val="24"/>
        </w:rPr>
      </w:pPr>
    </w:p>
    <w:p w:rsidR="00054DB8" w:rsidRPr="00054DB8" w:rsidRDefault="00054DB8" w:rsidP="00054DB8">
      <w:pPr>
        <w:ind w:firstLine="567"/>
        <w:jc w:val="both"/>
        <w:rPr>
          <w:rFonts w:ascii="Times New Roman" w:hAnsi="Times New Roman" w:cs="Times New Roman"/>
          <w:b/>
          <w:bCs/>
          <w:sz w:val="24"/>
          <w:szCs w:val="24"/>
          <w:lang w:eastAsia="lv-LV"/>
        </w:rPr>
      </w:pPr>
      <w:r w:rsidRPr="00054DB8">
        <w:rPr>
          <w:rFonts w:ascii="Times New Roman" w:hAnsi="Times New Roman" w:cs="Times New Roman"/>
          <w:color w:val="000000"/>
          <w:sz w:val="24"/>
          <w:szCs w:val="24"/>
          <w:lang w:eastAsia="ru-RU"/>
        </w:rPr>
        <w:t>Iesniegto piedāvājumu atvēršanas procesam pretendenti var sekot līdzi tiešsaistes režīmā EIS e-konkursu apakšsistēmā.</w:t>
      </w:r>
      <w:bookmarkStart w:id="2" w:name="_Toc349209185"/>
      <w:bookmarkStart w:id="3" w:name="_Toc349209900"/>
      <w:bookmarkStart w:id="4" w:name="_Toc349209946"/>
      <w:bookmarkStart w:id="5" w:name="_Toc349210465"/>
      <w:bookmarkStart w:id="6" w:name="_Toc349210570"/>
      <w:bookmarkStart w:id="7" w:name="_Toc349215703"/>
      <w:bookmarkStart w:id="8" w:name="_Toc349217673"/>
      <w:bookmarkStart w:id="9" w:name="_Toc349209186"/>
      <w:bookmarkStart w:id="10" w:name="_Toc349209901"/>
      <w:bookmarkStart w:id="11" w:name="_Toc349209947"/>
      <w:bookmarkStart w:id="12" w:name="_Toc349210466"/>
      <w:bookmarkStart w:id="13" w:name="_Toc349210571"/>
      <w:bookmarkStart w:id="14" w:name="_Toc349215704"/>
      <w:bookmarkStart w:id="15" w:name="_Toc349217674"/>
      <w:bookmarkStart w:id="16" w:name="_Toc349209187"/>
      <w:bookmarkStart w:id="17" w:name="_Toc349209902"/>
      <w:bookmarkStart w:id="18" w:name="_Toc349209948"/>
      <w:bookmarkStart w:id="19" w:name="_Toc349210467"/>
      <w:bookmarkStart w:id="20" w:name="_Toc349210572"/>
      <w:bookmarkStart w:id="21" w:name="_Toc349215705"/>
      <w:bookmarkStart w:id="22" w:name="_Toc349217675"/>
      <w:bookmarkStart w:id="23" w:name="_Toc349209188"/>
      <w:bookmarkStart w:id="24" w:name="_Toc349209903"/>
      <w:bookmarkStart w:id="25" w:name="_Toc349209949"/>
      <w:bookmarkStart w:id="26" w:name="_Toc349210468"/>
      <w:bookmarkStart w:id="27" w:name="_Toc349210573"/>
      <w:bookmarkStart w:id="28" w:name="_Toc349215706"/>
      <w:bookmarkStart w:id="29" w:name="_Toc349217676"/>
      <w:bookmarkStart w:id="30" w:name="_Toc349209189"/>
      <w:bookmarkStart w:id="31" w:name="_Toc349209904"/>
      <w:bookmarkStart w:id="32" w:name="_Toc349209950"/>
      <w:bookmarkStart w:id="33" w:name="_Toc349210469"/>
      <w:bookmarkStart w:id="34" w:name="_Toc349210574"/>
      <w:bookmarkStart w:id="35" w:name="_Toc349215707"/>
      <w:bookmarkStart w:id="36" w:name="_Toc349217677"/>
      <w:bookmarkStart w:id="37" w:name="_Toc349209190"/>
      <w:bookmarkStart w:id="38" w:name="_Toc349209905"/>
      <w:bookmarkStart w:id="39" w:name="_Toc349209951"/>
      <w:bookmarkStart w:id="40" w:name="_Toc349210470"/>
      <w:bookmarkStart w:id="41" w:name="_Toc349210575"/>
      <w:bookmarkStart w:id="42" w:name="_Toc349215708"/>
      <w:bookmarkStart w:id="43" w:name="_Toc349217678"/>
      <w:bookmarkStart w:id="44" w:name="_Toc349209191"/>
      <w:bookmarkStart w:id="45" w:name="_Toc349209906"/>
      <w:bookmarkStart w:id="46" w:name="_Toc349209952"/>
      <w:bookmarkStart w:id="47" w:name="_Toc349210471"/>
      <w:bookmarkStart w:id="48" w:name="_Toc349210576"/>
      <w:bookmarkStart w:id="49" w:name="_Toc349215709"/>
      <w:bookmarkStart w:id="50" w:name="_Toc349217679"/>
      <w:bookmarkStart w:id="51" w:name="_Toc349209192"/>
      <w:bookmarkStart w:id="52" w:name="_Toc349209907"/>
      <w:bookmarkStart w:id="53" w:name="_Toc349209953"/>
      <w:bookmarkStart w:id="54" w:name="_Toc349210472"/>
      <w:bookmarkStart w:id="55" w:name="_Toc349210577"/>
      <w:bookmarkStart w:id="56" w:name="_Toc349215710"/>
      <w:bookmarkStart w:id="57" w:name="_Toc349217680"/>
      <w:bookmarkStart w:id="58" w:name="_Toc349209193"/>
      <w:bookmarkStart w:id="59" w:name="_Toc349209908"/>
      <w:bookmarkStart w:id="60" w:name="_Toc349209954"/>
      <w:bookmarkStart w:id="61" w:name="_Toc349210473"/>
      <w:bookmarkStart w:id="62" w:name="_Toc349210578"/>
      <w:bookmarkStart w:id="63" w:name="_Toc349215711"/>
      <w:bookmarkStart w:id="64" w:name="_Toc349217681"/>
      <w:bookmarkStart w:id="65" w:name="_Toc349209194"/>
      <w:bookmarkStart w:id="66" w:name="_Toc349209909"/>
      <w:bookmarkStart w:id="67" w:name="_Toc349209955"/>
      <w:bookmarkStart w:id="68" w:name="_Toc349210474"/>
      <w:bookmarkStart w:id="69" w:name="_Toc349210579"/>
      <w:bookmarkStart w:id="70" w:name="_Toc349215712"/>
      <w:bookmarkStart w:id="71" w:name="_Toc349217682"/>
      <w:bookmarkStart w:id="72" w:name="_Toc349209195"/>
      <w:bookmarkStart w:id="73" w:name="_Toc349209910"/>
      <w:bookmarkStart w:id="74" w:name="_Toc349209956"/>
      <w:bookmarkStart w:id="75" w:name="_Toc349210475"/>
      <w:bookmarkStart w:id="76" w:name="_Toc349210580"/>
      <w:bookmarkStart w:id="77" w:name="_Toc349215713"/>
      <w:bookmarkStart w:id="78" w:name="_Toc349217683"/>
      <w:bookmarkStart w:id="79" w:name="_Toc349209196"/>
      <w:bookmarkStart w:id="80" w:name="_Toc349209911"/>
      <w:bookmarkStart w:id="81" w:name="_Toc349209957"/>
      <w:bookmarkStart w:id="82" w:name="_Toc349210476"/>
      <w:bookmarkStart w:id="83" w:name="_Toc349210581"/>
      <w:bookmarkStart w:id="84" w:name="_Toc349215714"/>
      <w:bookmarkStart w:id="85" w:name="_Toc34921768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054DB8" w:rsidRPr="00054DB8" w:rsidRDefault="00054DB8" w:rsidP="00054DB8">
      <w:pPr>
        <w:rPr>
          <w:rFonts w:ascii="Times New Roman" w:hAnsi="Times New Roman" w:cs="Times New Roman"/>
          <w:sz w:val="20"/>
          <w:szCs w:val="20"/>
        </w:rPr>
      </w:pPr>
    </w:p>
    <w:p w:rsidR="0098236C" w:rsidRPr="00C20434" w:rsidRDefault="0098236C">
      <w:pPr>
        <w:rPr>
          <w:rFonts w:ascii="Arial" w:hAnsi="Arial" w:cs="Arial"/>
        </w:rPr>
      </w:pPr>
    </w:p>
    <w:sectPr w:rsidR="0098236C" w:rsidRPr="00C20434" w:rsidSect="00054D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A26"/>
    <w:rsid w:val="00054DB8"/>
    <w:rsid w:val="003204EA"/>
    <w:rsid w:val="0098236C"/>
    <w:rsid w:val="00C20434"/>
    <w:rsid w:val="00E17A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3464F"/>
  <w15:chartTrackingRefBased/>
  <w15:docId w15:val="{044A58A6-71DE-4B11-8A4A-D2967C37D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4DB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4DB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7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ikumi.lv/ta/id/288730-sabiedrisko-pakalpojumu-sniedzeju-iepirkumu-likums" TargetMode="External"/><Relationship Id="rId5" Type="http://schemas.openxmlformats.org/officeDocument/2006/relationships/hyperlink" Target="https://likumi.lv/ta/id/288730-sabiedrisko-pakalpojumu-sniedzeju-iepirkumu-liku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86C3B-87B3-4D38-A9CB-757CE422A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949</Words>
  <Characters>541</Characters>
  <Application>Microsoft Office Word</Application>
  <DocSecurity>0</DocSecurity>
  <Lines>4</Lines>
  <Paragraphs>2</Paragraphs>
  <ScaleCrop>false</ScaleCrop>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Izaja</dc:creator>
  <cp:keywords/>
  <dc:description/>
  <cp:lastModifiedBy>Dana Izaja</cp:lastModifiedBy>
  <cp:revision>2</cp:revision>
  <dcterms:created xsi:type="dcterms:W3CDTF">2019-04-30T12:19:00Z</dcterms:created>
  <dcterms:modified xsi:type="dcterms:W3CDTF">2019-04-30T12:23:00Z</dcterms:modified>
</cp:coreProperties>
</file>