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0A" w:rsidRPr="00962D2C" w:rsidRDefault="0097610A" w:rsidP="00976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962D2C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:rsidR="0097610A" w:rsidRPr="00962D2C" w:rsidRDefault="00DF21ED" w:rsidP="0097610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2D2C">
        <w:rPr>
          <w:rFonts w:ascii="Times New Roman" w:hAnsi="Times New Roman" w:cs="Times New Roman"/>
          <w:bCs/>
          <w:sz w:val="24"/>
          <w:szCs w:val="24"/>
        </w:rPr>
        <w:t>slēgt</w:t>
      </w:r>
      <w:r w:rsidR="0097610A" w:rsidRPr="00962D2C">
        <w:rPr>
          <w:rFonts w:ascii="Times New Roman" w:hAnsi="Times New Roman" w:cs="Times New Roman"/>
          <w:bCs/>
          <w:sz w:val="24"/>
          <w:szCs w:val="24"/>
        </w:rPr>
        <w:t>s konkurss</w:t>
      </w:r>
    </w:p>
    <w:p w:rsidR="0097610A" w:rsidRPr="00962D2C" w:rsidRDefault="005B00ED" w:rsidP="009761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D2C">
        <w:rPr>
          <w:rFonts w:ascii="Times New Roman" w:hAnsi="Times New Roman" w:cs="Times New Roman"/>
          <w:b/>
          <w:color w:val="222222"/>
          <w:sz w:val="28"/>
          <w:szCs w:val="28"/>
        </w:rPr>
        <w:t>„</w:t>
      </w:r>
      <w:r w:rsidRPr="00962D2C">
        <w:rPr>
          <w:rFonts w:ascii="Times New Roman" w:hAnsi="Times New Roman" w:cs="Times New Roman"/>
          <w:b/>
          <w:sz w:val="28"/>
          <w:szCs w:val="28"/>
          <w:lang w:eastAsia="lv-LV"/>
        </w:rPr>
        <w:t>Daugavpils pieņemšanas parka un tam piebraucamo ceļu attīstība – būvniecība</w:t>
      </w:r>
      <w:r w:rsidRPr="00962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:rsidR="005B00ED" w:rsidRPr="00962D2C" w:rsidRDefault="005B00ED" w:rsidP="00976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highlight w:val="yellow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3737"/>
        <w:gridCol w:w="5529"/>
      </w:tblGrid>
      <w:tr w:rsidR="000E20AD" w:rsidRPr="000E20AD" w:rsidTr="005C48E7">
        <w:trPr>
          <w:trHeight w:val="5778"/>
        </w:trPr>
        <w:tc>
          <w:tcPr>
            <w:tcW w:w="516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37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5529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- VAS </w:t>
            </w:r>
            <w:r w:rsidRPr="000E20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Latvijas dzelzceļš”, Gogoļa iela 3, Rīga, LV-1547, Latvija;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824"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824" w:rsidRPr="000E20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LDZ 2017/7-IB/6.2.1.2/16/I/003/01-02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F21ED" w:rsidRPr="000E20AD">
              <w:rPr>
                <w:rFonts w:ascii="Times New Roman" w:hAnsi="Times New Roman" w:cs="Times New Roman"/>
                <w:bCs/>
                <w:sz w:val="24"/>
                <w:szCs w:val="24"/>
              </w:rPr>
              <w:t>slēgt</w:t>
            </w:r>
            <w:r w:rsidRPr="000E20AD">
              <w:rPr>
                <w:rFonts w:ascii="Times New Roman" w:hAnsi="Times New Roman" w:cs="Times New Roman"/>
                <w:bCs/>
                <w:sz w:val="24"/>
                <w:szCs w:val="24"/>
              </w:rPr>
              <w:t>s konkurss;</w:t>
            </w:r>
          </w:p>
          <w:p w:rsidR="0097610A" w:rsidRPr="000E20AD" w:rsidRDefault="0097610A" w:rsidP="005C48E7">
            <w:pPr>
              <w:pStyle w:val="NormalWeb"/>
              <w:tabs>
                <w:tab w:val="left" w:pos="32"/>
                <w:tab w:val="left" w:pos="174"/>
              </w:tabs>
              <w:ind w:firstLine="32"/>
              <w:contextualSpacing/>
              <w:jc w:val="both"/>
            </w:pPr>
            <w:r w:rsidRPr="000E20AD">
              <w:rPr>
                <w:bCs/>
              </w:rPr>
              <w:t xml:space="preserve">- iepirkums organizēts saskaņā ar Sabiedrisko pakalpojumu sniedzēju iepirkumu likuma un iekšējo normatīvo aktu noteikumiem, </w:t>
            </w:r>
            <w:r w:rsidR="00A72FA8" w:rsidRPr="000E20AD">
              <w:t>lai sekmīgi varētu realizēt Eiropas Savienības fondu Kohēzijas fonda līdzfinansētu projektu „Daugavpils pieņemšanas parka un tam piebraucamo ceļu attīstība – būvniecība</w:t>
            </w:r>
            <w:r w:rsidR="00A72FA8" w:rsidRPr="000E20AD">
              <w:rPr>
                <w:bCs/>
              </w:rPr>
              <w:t>”</w:t>
            </w:r>
            <w:r w:rsidR="00A72FA8" w:rsidRPr="000E20AD">
              <w:t xml:space="preserve"> (projekta Nr.6.2.1.2/16/I/003) un veikt dzelzceļa infrastruktūras kapacitātes paaugstināšanai, dzelzceļa infrastruktūras attīstībai, pasažieru drošībai un valsts konkurētspējas stiprināšanai dzelzceļa pārvadājumu jomā nepieciešamos būvdarbus;</w:t>
            </w:r>
          </w:p>
          <w:p w:rsidR="0097610A" w:rsidRPr="000E20AD" w:rsidRDefault="0097610A" w:rsidP="005C48E7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A7B" w:rsidRPr="000E20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iepirkuma līguma priekšmets: </w:t>
            </w:r>
            <w:r w:rsidR="00DD4E28" w:rsidRPr="000E20AD">
              <w:rPr>
                <w:rFonts w:ascii="Times New Roman" w:hAnsi="Times New Roman" w:cs="Times New Roman"/>
                <w:sz w:val="24"/>
                <w:szCs w:val="24"/>
              </w:rPr>
              <w:t>Daugavpils pieņemšanas parka un tam piebraucamo ceļu attīstība (projektēšana, autoruzraudzība un būvdarbi) Eiropas Savienības Kohēzijas fonda līdzfinansētā projekta „Daugavpils pieņemšanas parka un tam piebraucamo ceļu attīstība” (projekta Nr. 6.2.1.2/16I/003) ietvaros.</w:t>
            </w:r>
          </w:p>
        </w:tc>
      </w:tr>
      <w:tr w:rsidR="000E20AD" w:rsidRPr="000E20AD" w:rsidTr="00BE315B">
        <w:trPr>
          <w:trHeight w:val="2290"/>
        </w:trPr>
        <w:tc>
          <w:tcPr>
            <w:tcW w:w="516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37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5529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="003A114C"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2017.gada </w:t>
            </w:r>
            <w:r w:rsidR="00962D2C" w:rsidRPr="000E20AD">
              <w:rPr>
                <w:rFonts w:ascii="Times New Roman" w:hAnsi="Times New Roman" w:cs="Times New Roman"/>
                <w:sz w:val="24"/>
                <w:szCs w:val="24"/>
              </w:rPr>
              <w:t>2.oktobris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962D2C" w:rsidRPr="000E20AD">
              <w:rPr>
                <w:rFonts w:ascii="Times New Roman" w:hAnsi="Times New Roman" w:cs="Times New Roman"/>
                <w:sz w:val="24"/>
                <w:szCs w:val="24"/>
              </w:rPr>
              <w:t>2017.gada 29.septembris.</w:t>
            </w:r>
          </w:p>
        </w:tc>
      </w:tr>
      <w:tr w:rsidR="000E20AD" w:rsidRPr="000E20AD" w:rsidTr="005C48E7">
        <w:trPr>
          <w:trHeight w:val="3058"/>
        </w:trPr>
        <w:tc>
          <w:tcPr>
            <w:tcW w:w="516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37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</w:t>
            </w:r>
            <w:r w:rsidR="00361250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250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="00980691"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viceprezidents, Attīstības direkcijas, </w:t>
            </w: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 direkcijas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, juridiskā atbalsta, finanšu direkcijas, kā arī Iepirkumu biroja pārstāvji;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0E2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Sabiedrisko pakalpojumu sniedzēju iepirkumu likuma un iekšējo normatīvo aktu noteikumiem;</w:t>
            </w:r>
          </w:p>
          <w:p w:rsidR="0097610A" w:rsidRPr="000E20AD" w:rsidRDefault="0097610A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sagatavotāja</w:t>
            </w:r>
            <w:r w:rsidRPr="000E2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: 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VAS „Latvijas dzelzceļš” Iepirkuma biroja iepirkumu speciāliste.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737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Pieteikumu un sākotnējo piedāvājumu iesniegšanas termiņš.</w:t>
            </w:r>
          </w:p>
        </w:tc>
        <w:tc>
          <w:tcPr>
            <w:tcW w:w="5529" w:type="dxa"/>
          </w:tcPr>
          <w:p w:rsidR="008214B6" w:rsidRPr="002A321B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Pieteikumu – </w:t>
            </w:r>
            <w:r w:rsidR="000066B2" w:rsidRPr="000066B2">
              <w:rPr>
                <w:rFonts w:ascii="Times New Roman" w:hAnsi="Times New Roman" w:cs="Times New Roman"/>
                <w:sz w:val="24"/>
                <w:szCs w:val="24"/>
              </w:rPr>
              <w:t>2017.gada 27.decembris, līdz</w:t>
            </w:r>
            <w:r w:rsidR="00683931" w:rsidRPr="000066B2">
              <w:rPr>
                <w:rFonts w:ascii="Times New Roman" w:hAnsi="Times New Roman" w:cs="Times New Roman"/>
                <w:sz w:val="24"/>
                <w:szCs w:val="24"/>
              </w:rPr>
              <w:t xml:space="preserve"> plkst.10.00</w:t>
            </w:r>
            <w:r w:rsidR="000E20AD" w:rsidRPr="000066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E20AD" w:rsidRPr="000066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20AD" w:rsidRPr="002A321B">
              <w:rPr>
                <w:rFonts w:ascii="Times New Roman" w:hAnsi="Times New Roman" w:cs="Times New Roman"/>
                <w:sz w:val="24"/>
                <w:szCs w:val="24"/>
              </w:rPr>
              <w:t>pirms grozījumiem – 2017.gada 2.novembris</w:t>
            </w:r>
            <w:r w:rsidR="000066B2" w:rsidRPr="002A321B">
              <w:rPr>
                <w:rFonts w:ascii="Times New Roman" w:hAnsi="Times New Roman" w:cs="Times New Roman"/>
                <w:sz w:val="24"/>
                <w:szCs w:val="24"/>
              </w:rPr>
              <w:t>, līdz</w:t>
            </w:r>
            <w:r w:rsidR="002A321B" w:rsidRPr="002A321B">
              <w:rPr>
                <w:rFonts w:ascii="Times New Roman" w:hAnsi="Times New Roman" w:cs="Times New Roman"/>
                <w:sz w:val="24"/>
                <w:szCs w:val="24"/>
              </w:rPr>
              <w:t xml:space="preserve"> plkst.11</w:t>
            </w:r>
            <w:r w:rsidR="000066B2" w:rsidRPr="002A32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E20AD" w:rsidRPr="002A321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8567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Piedāvājumu</w:t>
            </w:r>
            <w:r w:rsidRPr="00006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iesniegšanas termiņš – </w:t>
            </w:r>
            <w:r w:rsidRPr="000066B2">
              <w:rPr>
                <w:rFonts w:ascii="Times New Roman" w:hAnsi="Times New Roman" w:cs="Times New Roman"/>
                <w:sz w:val="24"/>
                <w:szCs w:val="24"/>
              </w:rPr>
              <w:t>2018.gada 27.septembris, līdz plkst.10.40 (pirms grozījumiem – 2018.gada 10.septembris, līdz plkst.10.40)</w:t>
            </w:r>
            <w:r w:rsidR="00985675" w:rsidRPr="0000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737" w:type="dxa"/>
          </w:tcPr>
          <w:p w:rsidR="00B74455" w:rsidRPr="006757F4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57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piegādātāju nosaukumi, kuri pieteikušies uz kandidātu atlasi, un to pretendentu nosaukumi, kuri ir iesnieguši piedāvājumus, kā arī piedāvātās cenas vai izmaksas.</w:t>
            </w:r>
          </w:p>
        </w:tc>
        <w:tc>
          <w:tcPr>
            <w:tcW w:w="5529" w:type="dxa"/>
          </w:tcPr>
          <w:p w:rsidR="000066B2" w:rsidRPr="006757F4" w:rsidRDefault="000066B2" w:rsidP="005C48E7">
            <w:pPr>
              <w:tabs>
                <w:tab w:val="left" w:pos="316"/>
              </w:tabs>
              <w:spacing w:after="0" w:line="240" w:lineRule="auto"/>
              <w:ind w:left="360" w:hanging="3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57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Kandidāti, kas pieteikušies uz kandidātu atlasi</w:t>
            </w:r>
            <w:r w:rsidRPr="006757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066B2" w:rsidRPr="006757F4" w:rsidRDefault="00B74455" w:rsidP="005C48E7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7F4">
              <w:rPr>
                <w:rFonts w:ascii="Times New Roman" w:hAnsi="Times New Roman" w:cs="Times New Roman"/>
                <w:b/>
                <w:sz w:val="24"/>
                <w:szCs w:val="24"/>
              </w:rPr>
              <w:t>personu apvienība „Binders, ACB, Belam-Rīga”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kas sastāv no Ceļu būves firmas SIA 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>Binders” (reģ.Nr.40003164644), AS 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A.C.B.” (reģ.Nr.40003095713) un SIA 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>Belam-Rīga”(reģ.Nr.40003171311)</w:t>
            </w:r>
            <w:r w:rsidR="001C0236" w:rsidRPr="00675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6B2" w:rsidRPr="006757F4" w:rsidRDefault="00B74455" w:rsidP="005C48E7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4">
              <w:rPr>
                <w:rFonts w:ascii="Times New Roman" w:hAnsi="Times New Roman" w:cs="Times New Roman"/>
                <w:b/>
                <w:sz w:val="24"/>
                <w:szCs w:val="24"/>
              </w:rPr>
              <w:t>pilnsabiedrība „BMGS S”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 (reģ.Nr.40003549808)</w:t>
            </w:r>
            <w:r w:rsidR="001C0236"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0E00" w:rsidRPr="006757F4" w:rsidRDefault="00FB0E00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  <w:p w:rsidR="000066B2" w:rsidRPr="006757F4" w:rsidRDefault="000066B2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</w:pPr>
            <w:r w:rsidRPr="006757F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  <w:t xml:space="preserve">Pretendentu nosaukumi, kuri ir iesnieguši piedāvājumus: </w:t>
            </w:r>
          </w:p>
          <w:p w:rsidR="000066B2" w:rsidRPr="006757F4" w:rsidRDefault="000066B2" w:rsidP="005C48E7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4">
              <w:rPr>
                <w:rFonts w:ascii="Times New Roman" w:hAnsi="Times New Roman" w:cs="Times New Roman"/>
                <w:b/>
                <w:sz w:val="24"/>
                <w:szCs w:val="24"/>
              </w:rPr>
              <w:t>personu apvienība „Binders, ACB, Belam-Rīga”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kas sastāv no Ceļu būves firmas SIA 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>Binders” (reģ.Nr.40003164644), AS 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A.C.B.” (reģ.Nr.40003095713) un SIA 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57F4">
              <w:rPr>
                <w:rFonts w:ascii="Times New Roman" w:hAnsi="Times New Roman" w:cs="Times New Roman"/>
                <w:i/>
                <w:sz w:val="24"/>
                <w:szCs w:val="24"/>
              </w:rPr>
              <w:t>Belam-Rīga”(reģ.Nr.40003171311)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 iesniedza piedāvājumu par piedāvājuma kopējo summu </w:t>
            </w:r>
            <w:r w:rsidRPr="006757F4">
              <w:rPr>
                <w:rFonts w:ascii="Times New Roman" w:hAnsi="Times New Roman" w:cs="Times New Roman"/>
                <w:b/>
                <w:sz w:val="24"/>
                <w:szCs w:val="24"/>
              </w:rPr>
              <w:t>56 465 380.00 EUR bez PVN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6B2" w:rsidRPr="006757F4" w:rsidRDefault="000066B2" w:rsidP="005C48E7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4">
              <w:rPr>
                <w:rFonts w:ascii="Times New Roman" w:hAnsi="Times New Roman" w:cs="Times New Roman"/>
                <w:b/>
                <w:sz w:val="24"/>
                <w:szCs w:val="24"/>
              </w:rPr>
              <w:t>pilnsabiedrība „BMGS S”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 (reģ.Nr.40003549808) iesniedza piedāvājumu par piedāvājuma kopējo summu </w:t>
            </w:r>
            <w:r w:rsidRPr="006757F4">
              <w:rPr>
                <w:rFonts w:ascii="Times New Roman" w:hAnsi="Times New Roman" w:cs="Times New Roman"/>
                <w:b/>
                <w:sz w:val="24"/>
                <w:szCs w:val="24"/>
              </w:rPr>
              <w:t>57 206 780.00 EUR bez PVN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0AD" w:rsidRPr="000E20AD" w:rsidTr="00BE315B">
        <w:tc>
          <w:tcPr>
            <w:tcW w:w="516" w:type="dxa"/>
          </w:tcPr>
          <w:p w:rsidR="00985675" w:rsidRPr="005E5A55" w:rsidRDefault="00985675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A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737" w:type="dxa"/>
          </w:tcPr>
          <w:p w:rsidR="00985675" w:rsidRPr="005E5A55" w:rsidRDefault="0098567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E5A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Kandidātu skaita samazināšanas gadījumā norāda izraudzīto kandidātu nosaukumus un to izraudzīšanās iemeslus, noraidīto kandidātu nosaukumus un to noraidīšanas iemeslus.</w:t>
            </w:r>
          </w:p>
        </w:tc>
        <w:tc>
          <w:tcPr>
            <w:tcW w:w="5529" w:type="dxa"/>
          </w:tcPr>
          <w:p w:rsidR="00985675" w:rsidRPr="005E5A55" w:rsidRDefault="00985675" w:rsidP="005C48E7">
            <w:pPr>
              <w:tabs>
                <w:tab w:val="left" w:pos="316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0E20AD" w:rsidRPr="000E20AD" w:rsidTr="00BF2986">
        <w:trPr>
          <w:trHeight w:val="1138"/>
        </w:trPr>
        <w:tc>
          <w:tcPr>
            <w:tcW w:w="516" w:type="dxa"/>
          </w:tcPr>
          <w:p w:rsidR="00B74455" w:rsidRPr="006757F4" w:rsidRDefault="00FC3305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B74455" w:rsidRPr="006757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6757F4" w:rsidRDefault="0098567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757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Pieteikumu un piedāvājumu atvēršanas vieta, datums un laiks.</w:t>
            </w:r>
          </w:p>
        </w:tc>
        <w:tc>
          <w:tcPr>
            <w:tcW w:w="5529" w:type="dxa"/>
          </w:tcPr>
          <w:p w:rsidR="00985675" w:rsidRPr="000E20AD" w:rsidRDefault="00985675" w:rsidP="005C4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VAS „Latvijas dzelzceļš”, Gogoļa iela 3, Rīga, LV-1547, Latvija.</w:t>
            </w:r>
          </w:p>
          <w:p w:rsidR="00985675" w:rsidRPr="000E20AD" w:rsidRDefault="0098567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Pieteikumu – </w:t>
            </w:r>
            <w:r w:rsidR="008214B6" w:rsidRPr="006757F4">
              <w:rPr>
                <w:rFonts w:ascii="Times New Roman" w:hAnsi="Times New Roman" w:cs="Times New Roman"/>
                <w:sz w:val="24"/>
                <w:szCs w:val="24"/>
              </w:rPr>
              <w:t>2018.gada 1.marts plkst.</w:t>
            </w:r>
            <w:r w:rsidR="009577F2" w:rsidRPr="0067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4B6" w:rsidRPr="006757F4">
              <w:rPr>
                <w:rFonts w:ascii="Times New Roman" w:hAnsi="Times New Roman" w:cs="Times New Roman"/>
                <w:sz w:val="24"/>
                <w:szCs w:val="24"/>
              </w:rPr>
              <w:t>10.00;</w:t>
            </w:r>
          </w:p>
          <w:p w:rsidR="00B74455" w:rsidRPr="000E20AD" w:rsidRDefault="00985675" w:rsidP="005C4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– </w:t>
            </w:r>
            <w:r w:rsidR="008214B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2018.gada 27.septembris, plkst. 10.4</w:t>
            </w:r>
            <w:r w:rsidRPr="000E20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0E20AD" w:rsidRDefault="003F3C51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B74455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:rsidR="00B74455" w:rsidRPr="00FC3305" w:rsidRDefault="00FC3305" w:rsidP="005C48E7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 w:right="43"/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FC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Līguma slēgšanas tiesības nav piešķirtas, jo iepirkums tika izbeigts.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0E20AD" w:rsidRDefault="003F3C51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B74455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:rsidR="00B74455" w:rsidRPr="00FB712B" w:rsidRDefault="00FB712B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Nav attiecināms.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E412C7" w:rsidRDefault="003F3C51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B74455" w:rsidRPr="00E41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E412C7" w:rsidRDefault="0094459C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412C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Pamatojums lēmumam par katru noraidīto kandidātu un pretendentu, kā arī par katru iepirkuma procedūras dokumentiem neatbilstošu pieteikumu un piedāvājumu.</w:t>
            </w:r>
          </w:p>
        </w:tc>
        <w:tc>
          <w:tcPr>
            <w:tcW w:w="5529" w:type="dxa"/>
          </w:tcPr>
          <w:p w:rsidR="00B74455" w:rsidRDefault="00B74455" w:rsidP="005C48E7">
            <w:pPr>
              <w:spacing w:after="0" w:line="240" w:lineRule="auto"/>
              <w:ind w:right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C7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r w:rsidR="005C48E7" w:rsidRPr="00E412C7">
              <w:rPr>
                <w:rFonts w:ascii="Times New Roman" w:hAnsi="Times New Roman" w:cs="Times New Roman"/>
                <w:sz w:val="24"/>
                <w:szCs w:val="24"/>
              </w:rPr>
              <w:t>UIP</w:t>
            </w:r>
            <w:r w:rsidRPr="00E412C7">
              <w:rPr>
                <w:rFonts w:ascii="Times New Roman" w:hAnsi="Times New Roman" w:cs="Times New Roman"/>
                <w:sz w:val="24"/>
                <w:szCs w:val="24"/>
              </w:rPr>
              <w:t xml:space="preserve"> 6.2.punktu, pretendentu - personu apvienības „Binders, ACB, Belam-Rīga” un pilnsabiedrības „BMGS S” iesniegtajos piedāvājumos tika konstatētas vairākas neatbilstības UIP tehniskajām prasībām, kā arī pretendenti nebija ņēmuši vērā iepirkuma komisijas sniegtās atbildes uz pretendentu jautājumiem un nebija iekļāvuši precizētās pras</w:t>
            </w:r>
            <w:r w:rsidR="001A0E64" w:rsidRPr="00E412C7">
              <w:rPr>
                <w:rFonts w:ascii="Times New Roman" w:hAnsi="Times New Roman" w:cs="Times New Roman"/>
                <w:sz w:val="24"/>
                <w:szCs w:val="24"/>
              </w:rPr>
              <w:t>ības iesniegtajos piedāvājumos.</w:t>
            </w:r>
          </w:p>
          <w:p w:rsidR="008F6E58" w:rsidRPr="008F6E58" w:rsidRDefault="008F6E58" w:rsidP="008F6E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>VAS „Latvijas dzelzceļš” va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>ldes 2018.gada 6.novembra lēmumu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 xml:space="preserve"> Nr.VL-26/92 „</w:t>
            </w:r>
            <w:r w:rsidRPr="008F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slēgta konkursa 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F6E5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pieņemšanas parka un tam piebraucamo ceļu attīstība – būvniecība</w:t>
            </w:r>
            <w:r w:rsidRPr="008F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 xml:space="preserve">(iepirkuma identifikācijas Nr. </w:t>
            </w:r>
            <w:r w:rsidRPr="008F6E5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LDZ 2017/7-IB/6.2.1.2/16/I/003/01-02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rezultātu – iepirkuma procedūras izbeigšanu”</w:t>
            </w:r>
            <w:r w:rsidRPr="008F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>tika nolemts:</w:t>
            </w:r>
          </w:p>
          <w:p w:rsidR="008F6E58" w:rsidRPr="0042633F" w:rsidRDefault="008F6E58" w:rsidP="008F6E58">
            <w:pPr>
              <w:pStyle w:val="ListParagraph"/>
              <w:numPr>
                <w:ilvl w:val="0"/>
                <w:numId w:val="8"/>
              </w:numPr>
              <w:tabs>
                <w:tab w:val="left" w:pos="316"/>
                <w:tab w:val="left" w:pos="851"/>
              </w:tabs>
              <w:spacing w:after="0" w:line="240" w:lineRule="auto"/>
              <w:ind w:left="32" w:righ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2633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noraidīt pretendenta - </w:t>
            </w:r>
            <w:r w:rsidRPr="0042633F">
              <w:rPr>
                <w:rFonts w:ascii="Times New Roman" w:hAnsi="Times New Roman" w:cs="Times New Roman"/>
                <w:sz w:val="24"/>
                <w:szCs w:val="24"/>
              </w:rPr>
              <w:t>personu apvienības „Binders, ACB, Belam-Rīga” piedāvājumu;</w:t>
            </w:r>
          </w:p>
          <w:p w:rsidR="008F6E58" w:rsidRDefault="008F6E58" w:rsidP="008F6E58">
            <w:pPr>
              <w:pStyle w:val="ListParagraph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2" w:righ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2633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noraidīt pretendenta - </w:t>
            </w:r>
            <w:r w:rsidRPr="0042633F">
              <w:rPr>
                <w:rFonts w:ascii="Times New Roman" w:hAnsi="Times New Roman" w:cs="Times New Roman"/>
                <w:sz w:val="24"/>
                <w:szCs w:val="24"/>
              </w:rPr>
              <w:t>pilnsabiedrības „BMGS S” piedāvājumu;</w:t>
            </w:r>
          </w:p>
          <w:p w:rsidR="008F6E58" w:rsidRPr="008F6E58" w:rsidRDefault="008F6E58" w:rsidP="005C48E7">
            <w:pPr>
              <w:pStyle w:val="ListParagraph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2" w:righ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>izbeigt slēgtu konkursu „</w:t>
            </w:r>
            <w:r w:rsidRPr="008F6E5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Daugavpils pieņemšanas parka un tam piebraucamo ceļu attīstība – būvniecība</w:t>
            </w:r>
            <w:r w:rsidRPr="008F6E5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 xml:space="preserve"> (iepirkuma identifikācijas Nr. </w:t>
            </w:r>
            <w:r w:rsidRPr="008F6E5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LDZ 2017/7-IB/6.2.1.2/16/I/003/01-02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 xml:space="preserve">) un </w:t>
            </w:r>
            <w:r w:rsidRPr="008F6E58">
              <w:rPr>
                <w:rFonts w:ascii="Times New Roman" w:hAnsi="Times New Roman" w:cs="Times New Roman"/>
                <w:bCs/>
                <w:sz w:val="24"/>
                <w:szCs w:val="24"/>
              </w:rPr>
              <w:t>organizēt sarunu procedūru, nepublicējot dalības uzaicinājumu</w:t>
            </w:r>
            <w:r w:rsidRPr="008F6E58">
              <w:rPr>
                <w:rFonts w:ascii="Times New Roman" w:hAnsi="Times New Roman" w:cs="Times New Roman"/>
                <w:sz w:val="24"/>
                <w:szCs w:val="24"/>
              </w:rPr>
              <w:t>, saskaņā ar Sabiedrisko pakalpojumu sniedzēju iepirkumu likuma 13.panta septītās daļas 1.punktu.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0E20AD" w:rsidRDefault="003F3C51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B74455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Pamatojoties uz šī </w:t>
            </w:r>
            <w:r w:rsidRPr="003F3C51">
              <w:rPr>
                <w:rFonts w:ascii="Times New Roman" w:hAnsi="Times New Roman" w:cs="Times New Roman"/>
                <w:sz w:val="24"/>
                <w:szCs w:val="24"/>
              </w:rPr>
              <w:t xml:space="preserve">ziņojuma </w:t>
            </w:r>
            <w:r w:rsidR="003F3C51" w:rsidRPr="003F3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3C51">
              <w:rPr>
                <w:rFonts w:ascii="Times New Roman" w:hAnsi="Times New Roman" w:cs="Times New Roman"/>
                <w:sz w:val="24"/>
                <w:szCs w:val="24"/>
              </w:rPr>
              <w:t>.punktā minēto</w:t>
            </w:r>
            <w:r w:rsidRPr="006757F4">
              <w:rPr>
                <w:rFonts w:ascii="Times New Roman" w:hAnsi="Times New Roman" w:cs="Times New Roman"/>
                <w:sz w:val="24"/>
                <w:szCs w:val="24"/>
              </w:rPr>
              <w:t>, UI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P 10.1.5.apakšpunktu</w:t>
            </w:r>
            <w:r w:rsidR="001A0E64"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Ministru kabineta noteikumu Nr. 187 </w:t>
            </w:r>
            <w:r w:rsidRPr="000E20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0E20AD">
              <w:rPr>
                <w:rFonts w:ascii="Times New Roman" w:hAnsi="Times New Roman" w:cs="Times New Roman"/>
                <w:bCs/>
                <w:sz w:val="24"/>
                <w:szCs w:val="24"/>
              </w:rPr>
              <w:t>Sabiedrisko pakalpojumu sniedzēju iepirkuma procedūru un metu konkursu norises kārtība” 233.4 un 233.5.punktu.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0E20AD" w:rsidRDefault="003F3C51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B74455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:rsidR="00B74455" w:rsidRPr="000E20AD" w:rsidRDefault="00FB712B" w:rsidP="005C4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B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Nav attiecināms.</w:t>
            </w:r>
          </w:p>
        </w:tc>
      </w:tr>
      <w:tr w:rsidR="000E20AD" w:rsidRPr="000E20AD" w:rsidTr="00BE315B">
        <w:trPr>
          <w:trHeight w:val="1334"/>
        </w:trPr>
        <w:tc>
          <w:tcPr>
            <w:tcW w:w="516" w:type="dxa"/>
          </w:tcPr>
          <w:p w:rsidR="00B74455" w:rsidRPr="000E20AD" w:rsidRDefault="003F3C51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B74455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0E20AD" w:rsidRDefault="0094459C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pieteikumu un piedāvājumu iesniegšana, ja sabiedrisko pakalpojumu sniedzējam ir pienākums pieteikumu un piedāvājumu saņemšanai izmantot elektroniskās informācijas sistēmas.</w:t>
            </w:r>
          </w:p>
        </w:tc>
        <w:tc>
          <w:tcPr>
            <w:tcW w:w="5529" w:type="dxa"/>
          </w:tcPr>
          <w:p w:rsidR="00B74455" w:rsidRPr="000E20AD" w:rsidRDefault="00FB712B" w:rsidP="005C4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B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Nav attiecināms.</w:t>
            </w:r>
          </w:p>
        </w:tc>
      </w:tr>
      <w:tr w:rsidR="000E20AD" w:rsidRPr="000E20AD" w:rsidTr="00BE315B">
        <w:tc>
          <w:tcPr>
            <w:tcW w:w="516" w:type="dxa"/>
          </w:tcPr>
          <w:p w:rsidR="00B74455" w:rsidRPr="000E20AD" w:rsidRDefault="003F3C51" w:rsidP="005C4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B74455" w:rsidRPr="000E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B74455" w:rsidRPr="000E20AD" w:rsidRDefault="00B74455" w:rsidP="005C4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E20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:rsidR="00B74455" w:rsidRPr="000E20AD" w:rsidRDefault="00FB712B" w:rsidP="005C48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B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Nav attiecināms.</w:t>
            </w:r>
          </w:p>
        </w:tc>
      </w:tr>
    </w:tbl>
    <w:p w:rsidR="00677448" w:rsidRPr="00962D2C" w:rsidRDefault="00677448"/>
    <w:sectPr w:rsidR="00677448" w:rsidRPr="00962D2C" w:rsidSect="00983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82" w:rsidRDefault="00175F82" w:rsidP="00361250">
      <w:pPr>
        <w:spacing w:after="0" w:line="240" w:lineRule="auto"/>
      </w:pPr>
      <w:r>
        <w:separator/>
      </w:r>
    </w:p>
  </w:endnote>
  <w:endnote w:type="continuationSeparator" w:id="0">
    <w:p w:rsidR="00175F82" w:rsidRDefault="00175F82" w:rsidP="0036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82" w:rsidRDefault="00175F82" w:rsidP="00361250">
      <w:pPr>
        <w:spacing w:after="0" w:line="240" w:lineRule="auto"/>
      </w:pPr>
      <w:r>
        <w:separator/>
      </w:r>
    </w:p>
  </w:footnote>
  <w:footnote w:type="continuationSeparator" w:id="0">
    <w:p w:rsidR="00175F82" w:rsidRDefault="00175F82" w:rsidP="0036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0E4B"/>
    <w:multiLevelType w:val="hybridMultilevel"/>
    <w:tmpl w:val="DB52981E"/>
    <w:lvl w:ilvl="0" w:tplc="452C2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629B"/>
    <w:multiLevelType w:val="hybridMultilevel"/>
    <w:tmpl w:val="1FC4ED5C"/>
    <w:lvl w:ilvl="0" w:tplc="4136FF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6C24148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5D82"/>
    <w:multiLevelType w:val="hybridMultilevel"/>
    <w:tmpl w:val="A1328BDC"/>
    <w:lvl w:ilvl="0" w:tplc="4176AB7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43283F"/>
    <w:multiLevelType w:val="multilevel"/>
    <w:tmpl w:val="5058B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4" w15:restartNumberingAfterBreak="0">
    <w:nsid w:val="5A510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BF0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A34EF"/>
    <w:multiLevelType w:val="hybridMultilevel"/>
    <w:tmpl w:val="090C605C"/>
    <w:lvl w:ilvl="0" w:tplc="6C2414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2383"/>
    <w:multiLevelType w:val="hybridMultilevel"/>
    <w:tmpl w:val="DB52981E"/>
    <w:lvl w:ilvl="0" w:tplc="452C2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0A"/>
    <w:rsid w:val="000066B2"/>
    <w:rsid w:val="000A5269"/>
    <w:rsid w:val="000E20AD"/>
    <w:rsid w:val="001035E7"/>
    <w:rsid w:val="00175F82"/>
    <w:rsid w:val="001A0E64"/>
    <w:rsid w:val="001C0236"/>
    <w:rsid w:val="002A321B"/>
    <w:rsid w:val="003155A4"/>
    <w:rsid w:val="00361250"/>
    <w:rsid w:val="00396D16"/>
    <w:rsid w:val="003A114C"/>
    <w:rsid w:val="003F3C51"/>
    <w:rsid w:val="00401F9D"/>
    <w:rsid w:val="0042633F"/>
    <w:rsid w:val="00441A65"/>
    <w:rsid w:val="00460D53"/>
    <w:rsid w:val="00471518"/>
    <w:rsid w:val="004A51C8"/>
    <w:rsid w:val="004C4204"/>
    <w:rsid w:val="00543416"/>
    <w:rsid w:val="00571FD4"/>
    <w:rsid w:val="005720B4"/>
    <w:rsid w:val="005B00ED"/>
    <w:rsid w:val="005C48E7"/>
    <w:rsid w:val="005E5A55"/>
    <w:rsid w:val="005F5AB2"/>
    <w:rsid w:val="00621D50"/>
    <w:rsid w:val="00651E51"/>
    <w:rsid w:val="006757F4"/>
    <w:rsid w:val="00677448"/>
    <w:rsid w:val="00683931"/>
    <w:rsid w:val="00685A7B"/>
    <w:rsid w:val="007002F3"/>
    <w:rsid w:val="00737261"/>
    <w:rsid w:val="007B6D11"/>
    <w:rsid w:val="007C0B69"/>
    <w:rsid w:val="008214B6"/>
    <w:rsid w:val="00843CA1"/>
    <w:rsid w:val="00892117"/>
    <w:rsid w:val="008F6E58"/>
    <w:rsid w:val="00916243"/>
    <w:rsid w:val="0094459C"/>
    <w:rsid w:val="009577F2"/>
    <w:rsid w:val="00962D2C"/>
    <w:rsid w:val="0097610A"/>
    <w:rsid w:val="00980691"/>
    <w:rsid w:val="00985675"/>
    <w:rsid w:val="00A452B9"/>
    <w:rsid w:val="00A72FA8"/>
    <w:rsid w:val="00B74455"/>
    <w:rsid w:val="00B94408"/>
    <w:rsid w:val="00BD0AD1"/>
    <w:rsid w:val="00BF0048"/>
    <w:rsid w:val="00BF1320"/>
    <w:rsid w:val="00BF2986"/>
    <w:rsid w:val="00C66495"/>
    <w:rsid w:val="00C902DA"/>
    <w:rsid w:val="00CF11FE"/>
    <w:rsid w:val="00D004CE"/>
    <w:rsid w:val="00D634B0"/>
    <w:rsid w:val="00D6732C"/>
    <w:rsid w:val="00DD4E28"/>
    <w:rsid w:val="00DF21ED"/>
    <w:rsid w:val="00E373F4"/>
    <w:rsid w:val="00E412C7"/>
    <w:rsid w:val="00E43824"/>
    <w:rsid w:val="00E567B5"/>
    <w:rsid w:val="00EE207C"/>
    <w:rsid w:val="00F17647"/>
    <w:rsid w:val="00F23614"/>
    <w:rsid w:val="00FB0E00"/>
    <w:rsid w:val="00FB712B"/>
    <w:rsid w:val="00FC3305"/>
    <w:rsid w:val="00FC4503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17E78"/>
  <w15:chartTrackingRefBased/>
  <w15:docId w15:val="{8B9DB95B-7C3E-41F8-AEEE-21D420BE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610A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10A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9761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97610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610A"/>
    <w:rPr>
      <w:rFonts w:eastAsia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7610A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97610A"/>
    <w:rPr>
      <w:rFonts w:asciiTheme="minorHAnsi" w:hAnsiTheme="minorHAnsi" w:cstheme="minorBid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2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250"/>
    <w:rPr>
      <w:rFonts w:ascii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12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4CE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4CE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4094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58</cp:revision>
  <dcterms:created xsi:type="dcterms:W3CDTF">2018-11-06T06:57:00Z</dcterms:created>
  <dcterms:modified xsi:type="dcterms:W3CDTF">2018-11-13T08:24:00Z</dcterms:modified>
</cp:coreProperties>
</file>