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46870" w14:textId="77777777" w:rsidR="008F4627" w:rsidRPr="008F4627" w:rsidRDefault="008F4627">
      <w:pPr>
        <w:rPr>
          <w:i/>
        </w:rPr>
      </w:pPr>
    </w:p>
    <w:tbl>
      <w:tblPr>
        <w:tblStyle w:val="TableGrid"/>
        <w:tblW w:w="0" w:type="auto"/>
        <w:jc w:val="center"/>
        <w:tblLook w:val="04A0" w:firstRow="1" w:lastRow="0" w:firstColumn="1" w:lastColumn="0" w:noHBand="0" w:noVBand="1"/>
      </w:tblPr>
      <w:tblGrid>
        <w:gridCol w:w="1762"/>
        <w:gridCol w:w="4754"/>
        <w:gridCol w:w="6379"/>
      </w:tblGrid>
      <w:tr w:rsidR="00817707" w:rsidRPr="00EF4FC8" w14:paraId="1CF81868" w14:textId="77777777" w:rsidTr="00971F10">
        <w:trPr>
          <w:trHeight w:val="562"/>
          <w:jc w:val="center"/>
        </w:trPr>
        <w:tc>
          <w:tcPr>
            <w:tcW w:w="12895" w:type="dxa"/>
            <w:gridSpan w:val="3"/>
          </w:tcPr>
          <w:p w14:paraId="07BC7736" w14:textId="7209CC4B" w:rsidR="00817707" w:rsidRPr="00817707" w:rsidRDefault="00817707" w:rsidP="00817707">
            <w:pPr>
              <w:pStyle w:val="Nos2"/>
              <w:rPr>
                <w:b/>
                <w:i/>
                <w:sz w:val="24"/>
                <w:szCs w:val="24"/>
              </w:rPr>
            </w:pPr>
            <w:r w:rsidRPr="00817707">
              <w:rPr>
                <w:b/>
                <w:sz w:val="24"/>
                <w:szCs w:val="24"/>
                <w:lang w:eastAsia="lv-LV"/>
              </w:rPr>
              <w:t>“</w:t>
            </w:r>
            <w:r w:rsidRPr="00817707">
              <w:rPr>
                <w:b/>
                <w:sz w:val="24"/>
                <w:szCs w:val="24"/>
              </w:rPr>
              <w:t>Daugavpils pieņemšanas parka un tā piebraucamo ceļu attīstība: būvuzraudzība</w:t>
            </w:r>
            <w:r w:rsidRPr="00817707">
              <w:rPr>
                <w:b/>
                <w:sz w:val="24"/>
                <w:szCs w:val="24"/>
                <w:lang w:eastAsia="lv-LV"/>
              </w:rPr>
              <w:t>”</w:t>
            </w:r>
            <w:r w:rsidRPr="00817707">
              <w:rPr>
                <w:b/>
                <w:i/>
                <w:sz w:val="24"/>
                <w:szCs w:val="24"/>
              </w:rPr>
              <w:t xml:space="preserve"> </w:t>
            </w:r>
          </w:p>
          <w:p w14:paraId="56B5F154" w14:textId="62F3B29F" w:rsidR="00817707" w:rsidRPr="00EF4FC8" w:rsidRDefault="00817707" w:rsidP="00817707">
            <w:pPr>
              <w:jc w:val="center"/>
              <w:rPr>
                <w:b/>
                <w:szCs w:val="24"/>
              </w:rPr>
            </w:pPr>
            <w:r w:rsidRPr="00817707">
              <w:rPr>
                <w:rFonts w:eastAsia="Times New Roman"/>
                <w:b/>
                <w:szCs w:val="24"/>
              </w:rPr>
              <w:t xml:space="preserve">iepirkuma identifikācijas numurs: </w:t>
            </w:r>
            <w:r w:rsidRPr="00817707">
              <w:rPr>
                <w:rFonts w:eastAsia="Times New Roman"/>
                <w:b/>
                <w:szCs w:val="24"/>
                <w:lang w:val="en-GB"/>
              </w:rPr>
              <w:t>LDZ 2017/10-IB</w:t>
            </w:r>
            <w:r w:rsidRPr="00817707">
              <w:rPr>
                <w:rFonts w:eastAsia="Times New Roman"/>
                <w:b/>
                <w:szCs w:val="24"/>
                <w:lang w:val="en-GB" w:eastAsia="lv-LV"/>
              </w:rPr>
              <w:t>/6.2.1.2/16/I/003/02-01</w:t>
            </w:r>
          </w:p>
        </w:tc>
      </w:tr>
      <w:tr w:rsidR="00294A67" w:rsidRPr="00EF4FC8" w14:paraId="49D5DBA2" w14:textId="77777777" w:rsidTr="00971F10">
        <w:trPr>
          <w:trHeight w:val="562"/>
          <w:jc w:val="center"/>
        </w:trPr>
        <w:tc>
          <w:tcPr>
            <w:tcW w:w="12895" w:type="dxa"/>
            <w:gridSpan w:val="3"/>
          </w:tcPr>
          <w:p w14:paraId="2B753097" w14:textId="3304F8C1" w:rsidR="00294A67" w:rsidRPr="00817707" w:rsidRDefault="00294A67" w:rsidP="00635735">
            <w:pPr>
              <w:pStyle w:val="Nos2"/>
              <w:rPr>
                <w:b/>
                <w:sz w:val="24"/>
                <w:szCs w:val="24"/>
                <w:lang w:eastAsia="lv-LV"/>
              </w:rPr>
            </w:pPr>
            <w:r>
              <w:rPr>
                <w:b/>
                <w:sz w:val="24"/>
                <w:szCs w:val="24"/>
                <w:lang w:eastAsia="lv-LV"/>
              </w:rPr>
              <w:t>Grozījumi Nr.2</w:t>
            </w:r>
            <w:r w:rsidR="008427A7">
              <w:rPr>
                <w:b/>
                <w:sz w:val="24"/>
                <w:szCs w:val="24"/>
                <w:lang w:eastAsia="lv-LV"/>
              </w:rPr>
              <w:t xml:space="preserve">  </w:t>
            </w:r>
            <w:r w:rsidR="008427A7" w:rsidRPr="008427A7">
              <w:rPr>
                <w:i/>
                <w:sz w:val="24"/>
                <w:szCs w:val="24"/>
                <w:lang w:eastAsia="lv-LV"/>
              </w:rPr>
              <w:t xml:space="preserve">(apstiprināti 2017.gada </w:t>
            </w:r>
            <w:r w:rsidR="001C212B">
              <w:rPr>
                <w:i/>
                <w:sz w:val="24"/>
                <w:szCs w:val="24"/>
                <w:lang w:eastAsia="lv-LV"/>
              </w:rPr>
              <w:t>29.</w:t>
            </w:r>
            <w:r w:rsidR="00635735">
              <w:rPr>
                <w:i/>
                <w:sz w:val="24"/>
                <w:szCs w:val="24"/>
                <w:lang w:eastAsia="lv-LV"/>
              </w:rPr>
              <w:t>maija</w:t>
            </w:r>
            <w:r w:rsidR="008427A7" w:rsidRPr="008427A7">
              <w:rPr>
                <w:i/>
                <w:sz w:val="24"/>
                <w:szCs w:val="24"/>
                <w:lang w:eastAsia="lv-LV"/>
              </w:rPr>
              <w:t xml:space="preserve"> </w:t>
            </w:r>
            <w:r w:rsidR="001C212B" w:rsidRPr="008427A7">
              <w:rPr>
                <w:i/>
                <w:sz w:val="24"/>
                <w:szCs w:val="24"/>
                <w:lang w:eastAsia="lv-LV"/>
              </w:rPr>
              <w:t xml:space="preserve">Iepirkuma komisijas </w:t>
            </w:r>
            <w:r w:rsidR="008427A7" w:rsidRPr="008427A7">
              <w:rPr>
                <w:i/>
                <w:sz w:val="24"/>
                <w:szCs w:val="24"/>
                <w:lang w:eastAsia="lv-LV"/>
              </w:rPr>
              <w:t>4.sēdē)</w:t>
            </w:r>
          </w:p>
        </w:tc>
      </w:tr>
      <w:tr w:rsidR="00817707" w:rsidRPr="00EF4FC8" w14:paraId="1511ABCD" w14:textId="77777777" w:rsidTr="00971F10">
        <w:trPr>
          <w:jc w:val="center"/>
        </w:trPr>
        <w:tc>
          <w:tcPr>
            <w:tcW w:w="1762" w:type="dxa"/>
          </w:tcPr>
          <w:p w14:paraId="2927E4FD" w14:textId="627E74BB" w:rsidR="00817707" w:rsidRPr="00EF4FC8" w:rsidRDefault="00817707" w:rsidP="00817707">
            <w:pPr>
              <w:rPr>
                <w:b/>
                <w:szCs w:val="24"/>
              </w:rPr>
            </w:pPr>
            <w:r>
              <w:rPr>
                <w:b/>
                <w:szCs w:val="24"/>
              </w:rPr>
              <w:t>Labojuma vieta nolikuma dokumentācijā</w:t>
            </w:r>
          </w:p>
        </w:tc>
        <w:tc>
          <w:tcPr>
            <w:tcW w:w="4754" w:type="dxa"/>
          </w:tcPr>
          <w:p w14:paraId="1D56371A" w14:textId="77777777" w:rsidR="00294A67" w:rsidRDefault="00294A67" w:rsidP="00817707">
            <w:pPr>
              <w:jc w:val="center"/>
              <w:rPr>
                <w:b/>
                <w:szCs w:val="24"/>
              </w:rPr>
            </w:pPr>
          </w:p>
          <w:p w14:paraId="7A887FB2" w14:textId="7B9C64E8" w:rsidR="00817707" w:rsidRPr="00EF4FC8" w:rsidRDefault="00817707" w:rsidP="00817707">
            <w:pPr>
              <w:jc w:val="center"/>
              <w:rPr>
                <w:b/>
                <w:szCs w:val="24"/>
              </w:rPr>
            </w:pPr>
            <w:r w:rsidRPr="00EF4FC8">
              <w:rPr>
                <w:b/>
                <w:szCs w:val="24"/>
              </w:rPr>
              <w:t>Sākotnējā nolikuma redakcija</w:t>
            </w:r>
          </w:p>
        </w:tc>
        <w:tc>
          <w:tcPr>
            <w:tcW w:w="6379" w:type="dxa"/>
          </w:tcPr>
          <w:p w14:paraId="0F8CAA41" w14:textId="77777777" w:rsidR="00294A67" w:rsidRDefault="00294A67" w:rsidP="00817707">
            <w:pPr>
              <w:jc w:val="center"/>
              <w:rPr>
                <w:b/>
                <w:szCs w:val="24"/>
              </w:rPr>
            </w:pPr>
          </w:p>
          <w:p w14:paraId="6197BBEF" w14:textId="39D8132A" w:rsidR="00817707" w:rsidRPr="00EF4FC8" w:rsidRDefault="00817707" w:rsidP="00817707">
            <w:pPr>
              <w:jc w:val="center"/>
              <w:rPr>
                <w:b/>
                <w:szCs w:val="24"/>
              </w:rPr>
            </w:pPr>
            <w:r w:rsidRPr="00EF4FC8">
              <w:rPr>
                <w:b/>
                <w:szCs w:val="24"/>
              </w:rPr>
              <w:t>Labotā redakcija nolikumā</w:t>
            </w:r>
          </w:p>
        </w:tc>
      </w:tr>
      <w:tr w:rsidR="00EF4FC8" w:rsidRPr="00EF4FC8" w14:paraId="5215A284" w14:textId="77777777" w:rsidTr="00971F10">
        <w:trPr>
          <w:jc w:val="center"/>
        </w:trPr>
        <w:tc>
          <w:tcPr>
            <w:tcW w:w="1762" w:type="dxa"/>
          </w:tcPr>
          <w:p w14:paraId="74CD0F0A" w14:textId="07D3B442" w:rsidR="00EF4FC8" w:rsidRPr="00EF4FC8" w:rsidRDefault="00EF4FC8" w:rsidP="000E624B">
            <w:pPr>
              <w:rPr>
                <w:szCs w:val="24"/>
              </w:rPr>
            </w:pPr>
            <w:r w:rsidRPr="00EF4FC8">
              <w:rPr>
                <w:szCs w:val="24"/>
              </w:rPr>
              <w:t>Nolikuma 1.1.18.p.</w:t>
            </w:r>
          </w:p>
        </w:tc>
        <w:tc>
          <w:tcPr>
            <w:tcW w:w="4754" w:type="dxa"/>
          </w:tcPr>
          <w:p w14:paraId="476F3704" w14:textId="00F0B396" w:rsidR="00EF4FC8" w:rsidRPr="00EF4FC8" w:rsidRDefault="00EF4FC8" w:rsidP="00EF4FC8">
            <w:pPr>
              <w:rPr>
                <w:bCs/>
                <w:i/>
                <w:szCs w:val="24"/>
              </w:rPr>
            </w:pPr>
            <w:r w:rsidRPr="00EF4FC8">
              <w:rPr>
                <w:i/>
                <w:szCs w:val="24"/>
              </w:rPr>
              <w:t>kredītiestāde (turpmāk saukta arī kā nodrošinājuma devējs) - Eiropas Savienības, Eiropas Ekonomikas zonas dalībvalstī vai Pasaules tirdzniecības organizācijas dalībvalstī reģistrēta kredītiestāde;</w:t>
            </w:r>
          </w:p>
        </w:tc>
        <w:tc>
          <w:tcPr>
            <w:tcW w:w="6379" w:type="dxa"/>
          </w:tcPr>
          <w:p w14:paraId="57B19107" w14:textId="6794BAD1" w:rsidR="00EF4FC8" w:rsidRPr="00EF4FC8" w:rsidRDefault="00EF4FC8" w:rsidP="00817707">
            <w:pPr>
              <w:spacing w:after="120"/>
              <w:rPr>
                <w:szCs w:val="24"/>
              </w:rPr>
            </w:pPr>
            <w:r w:rsidRPr="00EF4FC8">
              <w:rPr>
                <w:szCs w:val="24"/>
              </w:rPr>
              <w:t xml:space="preserve"> </w:t>
            </w:r>
            <w:r>
              <w:rPr>
                <w:szCs w:val="24"/>
              </w:rPr>
              <w:t>“</w:t>
            </w:r>
            <w:r w:rsidRPr="00EF4FC8">
              <w:rPr>
                <w:szCs w:val="24"/>
              </w:rPr>
              <w:t>kredītiestāde (turpmāk saukta arī kā nodrošinājuma devējs) - Eiropas Savienī</w:t>
            </w:r>
            <w:bookmarkStart w:id="0" w:name="_GoBack"/>
            <w:bookmarkEnd w:id="0"/>
            <w:r w:rsidRPr="00EF4FC8">
              <w:rPr>
                <w:szCs w:val="24"/>
              </w:rPr>
              <w:t>bas vai Eiropas Ekonomikas zonas valstī reģistrēta kredītiestāde, tās filiāle vai ārvalsts kredītiestādes filiāle</w:t>
            </w:r>
            <w:r>
              <w:rPr>
                <w:szCs w:val="24"/>
              </w:rPr>
              <w:t>”</w:t>
            </w:r>
            <w:r w:rsidRPr="00EF4FC8">
              <w:rPr>
                <w:szCs w:val="24"/>
              </w:rPr>
              <w:t>;</w:t>
            </w:r>
          </w:p>
        </w:tc>
      </w:tr>
      <w:tr w:rsidR="00EF4FC8" w:rsidRPr="00EF4FC8" w14:paraId="61FBEDFA" w14:textId="77777777" w:rsidTr="00971F10">
        <w:trPr>
          <w:jc w:val="center"/>
        </w:trPr>
        <w:tc>
          <w:tcPr>
            <w:tcW w:w="1762" w:type="dxa"/>
          </w:tcPr>
          <w:p w14:paraId="09779895" w14:textId="188A99C8" w:rsidR="00EF4FC8" w:rsidRPr="00EF4FC8" w:rsidRDefault="00EF4FC8" w:rsidP="000E624B">
            <w:pPr>
              <w:rPr>
                <w:szCs w:val="24"/>
              </w:rPr>
            </w:pPr>
            <w:r w:rsidRPr="00EF4FC8">
              <w:rPr>
                <w:szCs w:val="24"/>
              </w:rPr>
              <w:t>Nolikuma 1.1.19.p.</w:t>
            </w:r>
          </w:p>
        </w:tc>
        <w:tc>
          <w:tcPr>
            <w:tcW w:w="4754" w:type="dxa"/>
          </w:tcPr>
          <w:p w14:paraId="4C253E41" w14:textId="016EAA56" w:rsidR="00EF4FC8" w:rsidRPr="00EF4FC8" w:rsidRDefault="00EF4FC8" w:rsidP="001C212B">
            <w:pPr>
              <w:rPr>
                <w:i/>
                <w:szCs w:val="24"/>
              </w:rPr>
            </w:pPr>
            <w:r w:rsidRPr="00EF4FC8">
              <w:rPr>
                <w:i/>
                <w:szCs w:val="24"/>
              </w:rPr>
              <w:t>apdrošināšanas sabiedrība (turpmāk saukta arī kā nodrošinājuma devējs) - Eiropas Savienības, Eiropas Ekonomikas zonas dalībvalstī vai Pasaules tirdzniecības organizācijas dalībvalstī reģistrēta apdrošināšanas sabiedrība;</w:t>
            </w:r>
          </w:p>
        </w:tc>
        <w:tc>
          <w:tcPr>
            <w:tcW w:w="6379" w:type="dxa"/>
          </w:tcPr>
          <w:p w14:paraId="59BA7A8A" w14:textId="7BB87C4C" w:rsidR="00EF4FC8" w:rsidRPr="00EF4FC8" w:rsidRDefault="00EF4FC8" w:rsidP="00EF4FC8">
            <w:pPr>
              <w:spacing w:after="120"/>
              <w:rPr>
                <w:szCs w:val="24"/>
              </w:rPr>
            </w:pPr>
            <w:r>
              <w:rPr>
                <w:szCs w:val="24"/>
              </w:rPr>
              <w:t>“</w:t>
            </w:r>
            <w:r w:rsidRPr="00EF4FC8">
              <w:rPr>
                <w:szCs w:val="24"/>
              </w:rPr>
              <w:t>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w:t>
            </w:r>
            <w:r>
              <w:rPr>
                <w:szCs w:val="24"/>
              </w:rPr>
              <w:t>”</w:t>
            </w:r>
            <w:r w:rsidRPr="00EF4FC8">
              <w:rPr>
                <w:szCs w:val="24"/>
              </w:rPr>
              <w:t>;</w:t>
            </w:r>
          </w:p>
        </w:tc>
      </w:tr>
      <w:tr w:rsidR="00EF4FC8" w:rsidRPr="00EF4FC8" w14:paraId="6D9C0A4A" w14:textId="77777777" w:rsidTr="00971F10">
        <w:trPr>
          <w:jc w:val="center"/>
        </w:trPr>
        <w:tc>
          <w:tcPr>
            <w:tcW w:w="1762" w:type="dxa"/>
          </w:tcPr>
          <w:p w14:paraId="497BE1F3" w14:textId="64CE6608" w:rsidR="00EF4FC8" w:rsidRPr="00EF4FC8" w:rsidRDefault="00EF4FC8" w:rsidP="000E624B">
            <w:pPr>
              <w:rPr>
                <w:szCs w:val="24"/>
              </w:rPr>
            </w:pPr>
            <w:r w:rsidRPr="00EF4FC8">
              <w:rPr>
                <w:szCs w:val="24"/>
              </w:rPr>
              <w:t>Līgumprojekta 6.4.p.</w:t>
            </w:r>
          </w:p>
        </w:tc>
        <w:tc>
          <w:tcPr>
            <w:tcW w:w="4754" w:type="dxa"/>
          </w:tcPr>
          <w:p w14:paraId="3097FE92" w14:textId="4A34C09F" w:rsidR="00EF4FC8" w:rsidRPr="00EF4FC8" w:rsidRDefault="00EF4FC8" w:rsidP="00E766EE">
            <w:pPr>
              <w:rPr>
                <w:i/>
                <w:szCs w:val="24"/>
              </w:rPr>
            </w:pPr>
            <w:r w:rsidRPr="00EF4FC8">
              <w:rPr>
                <w:bCs/>
                <w:i/>
                <w:szCs w:val="24"/>
              </w:rPr>
              <w:t>Līguma izpildes nodrošinājumu  - Bankas garantiju ir jāizsniedz Latvijas Republikā reģistrētai bankai vai Eiropas Savienības dalībvalstī vai Eiropas Ekonomikas zonā reģistrētai bankai, kas Latvijas Republikas normatīvajos tiesību aktos noteiktajā kārtībā sniedz pakalpojumus Latvijas Republikas teritorijā.</w:t>
            </w:r>
          </w:p>
        </w:tc>
        <w:tc>
          <w:tcPr>
            <w:tcW w:w="6379" w:type="dxa"/>
          </w:tcPr>
          <w:p w14:paraId="7C088325" w14:textId="42F55372" w:rsidR="00EF4FC8" w:rsidRPr="00EF4FC8" w:rsidRDefault="001C212B" w:rsidP="00E766EE">
            <w:pPr>
              <w:spacing w:after="120"/>
              <w:rPr>
                <w:szCs w:val="24"/>
              </w:rPr>
            </w:pPr>
            <w:r>
              <w:rPr>
                <w:bCs/>
                <w:szCs w:val="24"/>
              </w:rPr>
              <w:t>“</w:t>
            </w:r>
            <w:r w:rsidR="00EF4FC8" w:rsidRPr="00EF4FC8">
              <w:rPr>
                <w:bCs/>
                <w:szCs w:val="24"/>
              </w:rPr>
              <w:t>Līguma izpildes nodrošinājumu  - Bankas garantiju ir jāizsniedz Eiropas Savienības vai Eiropas Ekonomikas zonas valstī reģistrētai kredītiestādei, tās filiālei vai ārvalsts kredītiestādes filiālei</w:t>
            </w:r>
            <w:r w:rsidR="00EF4FC8">
              <w:rPr>
                <w:bCs/>
                <w:szCs w:val="24"/>
              </w:rPr>
              <w:t>”</w:t>
            </w:r>
            <w:r w:rsidR="00EF4FC8" w:rsidRPr="00EF4FC8">
              <w:rPr>
                <w:bCs/>
                <w:szCs w:val="24"/>
              </w:rPr>
              <w:t>;</w:t>
            </w:r>
          </w:p>
        </w:tc>
      </w:tr>
      <w:tr w:rsidR="00EF4FC8" w:rsidRPr="00EF4FC8" w14:paraId="6A432390" w14:textId="77777777" w:rsidTr="00971F10">
        <w:trPr>
          <w:jc w:val="center"/>
        </w:trPr>
        <w:tc>
          <w:tcPr>
            <w:tcW w:w="1762" w:type="dxa"/>
          </w:tcPr>
          <w:p w14:paraId="2C8277CF" w14:textId="30B3843A" w:rsidR="00EF4FC8" w:rsidRPr="00EF4FC8" w:rsidRDefault="00EF4FC8" w:rsidP="000E624B">
            <w:pPr>
              <w:rPr>
                <w:szCs w:val="24"/>
              </w:rPr>
            </w:pPr>
            <w:r w:rsidRPr="00EF4FC8">
              <w:rPr>
                <w:szCs w:val="24"/>
              </w:rPr>
              <w:t>Nolikuma 1.6.4.2.p.</w:t>
            </w:r>
          </w:p>
        </w:tc>
        <w:tc>
          <w:tcPr>
            <w:tcW w:w="4754" w:type="dxa"/>
          </w:tcPr>
          <w:p w14:paraId="7F2D20AD" w14:textId="1E013DFB" w:rsidR="00EF4FC8" w:rsidRPr="00EF4FC8" w:rsidRDefault="00EF4FC8" w:rsidP="00E766EE">
            <w:pPr>
              <w:rPr>
                <w:i/>
                <w:szCs w:val="24"/>
              </w:rPr>
            </w:pPr>
            <w:r w:rsidRPr="00EF4FC8">
              <w:rPr>
                <w:i/>
                <w:szCs w:val="24"/>
              </w:rPr>
              <w:t>līdz iepirkuma līguma noslēgšanai un līguma nodrošinājuma iesniegšanai</w:t>
            </w:r>
          </w:p>
          <w:p w14:paraId="243AF8B2" w14:textId="77777777" w:rsidR="00EF4FC8" w:rsidRPr="00EF4FC8" w:rsidRDefault="00EF4FC8" w:rsidP="00E766EE">
            <w:pPr>
              <w:rPr>
                <w:bCs/>
                <w:i/>
                <w:szCs w:val="24"/>
              </w:rPr>
            </w:pPr>
          </w:p>
        </w:tc>
        <w:tc>
          <w:tcPr>
            <w:tcW w:w="6379" w:type="dxa"/>
          </w:tcPr>
          <w:p w14:paraId="59854F61" w14:textId="687ACBFA" w:rsidR="00EF4FC8" w:rsidRPr="00EF4FC8" w:rsidRDefault="00EF4FC8" w:rsidP="00E766EE">
            <w:pPr>
              <w:spacing w:after="120"/>
              <w:rPr>
                <w:szCs w:val="24"/>
              </w:rPr>
            </w:pPr>
            <w:r w:rsidRPr="00EF4FC8">
              <w:rPr>
                <w:szCs w:val="24"/>
              </w:rPr>
              <w:t xml:space="preserve"> </w:t>
            </w:r>
            <w:r>
              <w:rPr>
                <w:szCs w:val="24"/>
              </w:rPr>
              <w:t>“</w:t>
            </w:r>
            <w:r w:rsidRPr="00EF4FC8">
              <w:rPr>
                <w:szCs w:val="24"/>
              </w:rPr>
              <w:t>līdz iepirkuma līguma nodrošinājuma iesniegšanai ar uzvarējušo pretendentu</w:t>
            </w:r>
            <w:r>
              <w:rPr>
                <w:szCs w:val="24"/>
              </w:rPr>
              <w:t>”</w:t>
            </w:r>
            <w:r w:rsidRPr="00EF4FC8">
              <w:rPr>
                <w:szCs w:val="24"/>
              </w:rPr>
              <w:t>;</w:t>
            </w:r>
          </w:p>
        </w:tc>
      </w:tr>
      <w:tr w:rsidR="00EF4FC8" w:rsidRPr="00EF4FC8" w14:paraId="43F4B210" w14:textId="77777777" w:rsidTr="00971F10">
        <w:trPr>
          <w:jc w:val="center"/>
        </w:trPr>
        <w:tc>
          <w:tcPr>
            <w:tcW w:w="1762" w:type="dxa"/>
          </w:tcPr>
          <w:p w14:paraId="586F19C8" w14:textId="061D49B6" w:rsidR="00EF4FC8" w:rsidRPr="00EF4FC8" w:rsidRDefault="00EF4FC8" w:rsidP="000E624B">
            <w:pPr>
              <w:rPr>
                <w:szCs w:val="24"/>
              </w:rPr>
            </w:pPr>
            <w:r w:rsidRPr="00EF4FC8">
              <w:rPr>
                <w:szCs w:val="24"/>
              </w:rPr>
              <w:t>Nolikuma 1.6.5.p.</w:t>
            </w:r>
          </w:p>
        </w:tc>
        <w:tc>
          <w:tcPr>
            <w:tcW w:w="4754" w:type="dxa"/>
          </w:tcPr>
          <w:p w14:paraId="44DBBEDA" w14:textId="0A053DB7" w:rsidR="00EF4FC8" w:rsidRPr="00EF4FC8" w:rsidRDefault="00EF4FC8" w:rsidP="00E766EE">
            <w:pPr>
              <w:rPr>
                <w:i/>
                <w:szCs w:val="24"/>
              </w:rPr>
            </w:pPr>
            <w:r w:rsidRPr="00EF4FC8">
              <w:rPr>
                <w:i/>
                <w:szCs w:val="24"/>
              </w:rPr>
              <w:t>piedāvājuma nodrošinājums zaudē savu spēku dienā, kad izraudzītais pretendents iesniedz līguma nodrošinājumu;</w:t>
            </w:r>
          </w:p>
          <w:p w14:paraId="393D014F" w14:textId="77777777" w:rsidR="00EF4FC8" w:rsidRPr="00EF4FC8" w:rsidRDefault="00EF4FC8" w:rsidP="00E766EE">
            <w:pPr>
              <w:rPr>
                <w:i/>
                <w:szCs w:val="24"/>
              </w:rPr>
            </w:pPr>
          </w:p>
        </w:tc>
        <w:tc>
          <w:tcPr>
            <w:tcW w:w="6379" w:type="dxa"/>
          </w:tcPr>
          <w:p w14:paraId="561021FC" w14:textId="1EC565B2" w:rsidR="00EF4FC8" w:rsidRPr="00EF4FC8" w:rsidRDefault="00EF4FC8" w:rsidP="00EF4FC8">
            <w:pPr>
              <w:spacing w:after="120"/>
              <w:rPr>
                <w:szCs w:val="24"/>
              </w:rPr>
            </w:pPr>
            <w:r w:rsidRPr="00EF4FC8">
              <w:rPr>
                <w:szCs w:val="24"/>
              </w:rPr>
              <w:t xml:space="preserve"> </w:t>
            </w:r>
            <w:r>
              <w:rPr>
                <w:szCs w:val="24"/>
              </w:rPr>
              <w:t>“</w:t>
            </w:r>
            <w:r w:rsidRPr="00EF4FC8">
              <w:rPr>
                <w:szCs w:val="24"/>
              </w:rPr>
              <w:t>piedāvājuma nodrošinājums uzvarējušam pretendentam zaudē savu spēku dienā, kad  uzvarējušais pretendents iesniedz līguma nodrošinājumu</w:t>
            </w:r>
            <w:r>
              <w:rPr>
                <w:szCs w:val="24"/>
              </w:rPr>
              <w:t>”</w:t>
            </w:r>
            <w:r w:rsidRPr="00EF4FC8">
              <w:rPr>
                <w:szCs w:val="24"/>
              </w:rPr>
              <w:t>;</w:t>
            </w:r>
          </w:p>
        </w:tc>
      </w:tr>
      <w:tr w:rsidR="00EF4FC8" w:rsidRPr="00EF4FC8" w14:paraId="59A285A6" w14:textId="77777777" w:rsidTr="00971F10">
        <w:trPr>
          <w:jc w:val="center"/>
        </w:trPr>
        <w:tc>
          <w:tcPr>
            <w:tcW w:w="1762" w:type="dxa"/>
          </w:tcPr>
          <w:p w14:paraId="58B42D17" w14:textId="283525E6" w:rsidR="00EF4FC8" w:rsidRPr="00EF4FC8" w:rsidRDefault="00EF4FC8" w:rsidP="000E624B">
            <w:pPr>
              <w:rPr>
                <w:szCs w:val="24"/>
              </w:rPr>
            </w:pPr>
            <w:r w:rsidRPr="00EF4FC8">
              <w:rPr>
                <w:szCs w:val="24"/>
              </w:rPr>
              <w:lastRenderedPageBreak/>
              <w:t>Nolikuma 2.pielikuma 9.veidlapa</w:t>
            </w:r>
          </w:p>
        </w:tc>
        <w:tc>
          <w:tcPr>
            <w:tcW w:w="4754" w:type="dxa"/>
          </w:tcPr>
          <w:p w14:paraId="108AD46B" w14:textId="78AD3773" w:rsidR="00EF4FC8" w:rsidRPr="00EF4FC8" w:rsidRDefault="00EF4FC8" w:rsidP="00E766EE">
            <w:pPr>
              <w:rPr>
                <w:i/>
                <w:szCs w:val="24"/>
              </w:rPr>
            </w:pPr>
            <w:r w:rsidRPr="00EF4FC8">
              <w:rPr>
                <w:i/>
                <w:szCs w:val="24"/>
              </w:rPr>
              <w:t xml:space="preserve"> “Pretendenta saimnieciskais un finansiālais stāvoklis”.</w:t>
            </w:r>
          </w:p>
          <w:p w14:paraId="3903BF86" w14:textId="77777777" w:rsidR="00EF4FC8" w:rsidRPr="00EF4FC8" w:rsidRDefault="00EF4FC8" w:rsidP="00E766EE">
            <w:pPr>
              <w:rPr>
                <w:i/>
                <w:szCs w:val="24"/>
              </w:rPr>
            </w:pPr>
          </w:p>
          <w:p w14:paraId="1332BCE0" w14:textId="588F0B3D" w:rsidR="00EF4FC8" w:rsidRPr="00EF4FC8" w:rsidRDefault="00EF4FC8" w:rsidP="001C212B">
            <w:pPr>
              <w:keepNext/>
              <w:rPr>
                <w:i/>
                <w:szCs w:val="24"/>
              </w:rPr>
            </w:pPr>
            <w:r w:rsidRPr="00EF4FC8">
              <w:rPr>
                <w:rFonts w:eastAsia="Times New Roman"/>
                <w:i/>
                <w:szCs w:val="24"/>
              </w:rPr>
              <w:t>Lūdzu sniedziet finansiālo informāciju no ikgadējā gada pārskata, kas sagatavots ievērojot Gada pārskata likuma regulējumus. Ja gada pārskatā nepieciešamā informācija nav vēl pieejama, lūdzu norādīt jūsu pēdējos aprēķinus, kas skaidri norāda aprēķinātos skaitļus. Skaitļiem  visās kolonnās jābūt aprēķinātiem pēc tādas pašas metodikas,  lai var veikt tiešu gadu no gada salīdzinājumu (ja metodika ir mainīta, tad ir jāsniedz izmaiņu skaidrojums zem tabulas).</w:t>
            </w:r>
          </w:p>
        </w:tc>
        <w:tc>
          <w:tcPr>
            <w:tcW w:w="6379" w:type="dxa"/>
          </w:tcPr>
          <w:p w14:paraId="325FEF0D" w14:textId="06BB61BB" w:rsidR="00EF4FC8" w:rsidRPr="00EF4FC8" w:rsidRDefault="00307B5E" w:rsidP="00E766EE">
            <w:pPr>
              <w:keepNext/>
              <w:spacing w:after="120"/>
              <w:rPr>
                <w:rFonts w:eastAsia="Times New Roman"/>
                <w:i/>
                <w:szCs w:val="24"/>
              </w:rPr>
            </w:pPr>
            <w:r w:rsidRPr="00EF4FC8" w:rsidDel="00307B5E">
              <w:rPr>
                <w:szCs w:val="24"/>
              </w:rPr>
              <w:t xml:space="preserve"> </w:t>
            </w:r>
            <w:r w:rsidR="00EF4FC8">
              <w:rPr>
                <w:rFonts w:eastAsia="Times New Roman"/>
                <w:i/>
                <w:szCs w:val="24"/>
              </w:rPr>
              <w:t>“</w:t>
            </w:r>
            <w:r w:rsidR="00EF4FC8" w:rsidRPr="00EF4FC8">
              <w:rPr>
                <w:rFonts w:eastAsia="Times New Roman"/>
                <w:i/>
                <w:szCs w:val="24"/>
              </w:rPr>
              <w:t xml:space="preserve">Lūdzu sniedziet finansiālo informāciju no ikgadējā gada pārskata, kas sagatavots ievērojot Gada pārskata likuma regulējumus. Ja gada pārskatā nepieciešamā informācija nav vēl pieejama, lūdzu norādīt jūsu pēdējos aprēķinus </w:t>
            </w:r>
            <w:r w:rsidR="00EF4FC8" w:rsidRPr="00EF4FC8">
              <w:rPr>
                <w:i/>
                <w:szCs w:val="24"/>
              </w:rPr>
              <w:t>pēc operatīviem grāmatvedības datiem</w:t>
            </w:r>
            <w:r w:rsidR="00EF4FC8" w:rsidRPr="00EF4FC8">
              <w:rPr>
                <w:rFonts w:eastAsia="Times New Roman"/>
                <w:i/>
                <w:szCs w:val="24"/>
              </w:rPr>
              <w:t>, kas skaidri norāda aprēķinātos skaitļus. Skaitļiem  visās kolonnās jābūt aprēķinātiem pēc tādas pašas metodikas,  lai var veikt tiešu gadu no gada salīdzinājumu (ja metodika ir mainīta, tad ir jāsniedz izmaiņu skaidrojums zem tabulas).</w:t>
            </w:r>
          </w:p>
          <w:p w14:paraId="25C6E095" w14:textId="5743212B" w:rsidR="00EF4FC8" w:rsidRPr="00EF4FC8" w:rsidRDefault="00EF4FC8" w:rsidP="00E766EE">
            <w:pPr>
              <w:spacing w:after="120"/>
              <w:rPr>
                <w:szCs w:val="24"/>
              </w:rPr>
            </w:pPr>
            <w:r w:rsidRPr="00EF4FC8">
              <w:rPr>
                <w:rFonts w:eastAsia="Times New Roman"/>
                <w:i/>
                <w:szCs w:val="24"/>
              </w:rPr>
              <w:t>Ārvalstu pretendentiem, lai apliecinātu atbilstību nolikuma 1.pielikuma 4.2.2.punkta prasībām iesniedzami savas mītnes zemes likumdošanā noteiktie dokumenti, kas apliecina saimniecisko un finansiālo stāvokli.</w:t>
            </w:r>
            <w:r>
              <w:rPr>
                <w:rFonts w:eastAsia="Times New Roman"/>
                <w:i/>
                <w:szCs w:val="24"/>
              </w:rPr>
              <w:t>”</w:t>
            </w:r>
          </w:p>
        </w:tc>
      </w:tr>
      <w:tr w:rsidR="00EF4FC8" w:rsidRPr="00EF4FC8" w14:paraId="3D8A296C" w14:textId="77777777" w:rsidTr="00971F10">
        <w:trPr>
          <w:trHeight w:val="911"/>
          <w:jc w:val="center"/>
        </w:trPr>
        <w:tc>
          <w:tcPr>
            <w:tcW w:w="1762" w:type="dxa"/>
          </w:tcPr>
          <w:p w14:paraId="23088E27" w14:textId="3E9E7E90" w:rsidR="00EF4FC8" w:rsidRPr="00EF4FC8" w:rsidRDefault="00EF4FC8" w:rsidP="000E624B">
            <w:pPr>
              <w:rPr>
                <w:szCs w:val="24"/>
              </w:rPr>
            </w:pPr>
            <w:r w:rsidRPr="00EF4FC8">
              <w:rPr>
                <w:szCs w:val="24"/>
              </w:rPr>
              <w:t>Nolikuma 1.pielikuma 4.2.3.p.</w:t>
            </w:r>
          </w:p>
        </w:tc>
        <w:tc>
          <w:tcPr>
            <w:tcW w:w="4754" w:type="dxa"/>
          </w:tcPr>
          <w:p w14:paraId="7FFA8BE2" w14:textId="0AEBA2FA" w:rsidR="00EF4FC8" w:rsidRPr="00EF4FC8" w:rsidRDefault="00EF4FC8" w:rsidP="006E26E0">
            <w:pPr>
              <w:rPr>
                <w:i/>
                <w:szCs w:val="24"/>
              </w:rPr>
            </w:pPr>
            <w:r w:rsidRPr="00EF4FC8">
              <w:rPr>
                <w:i/>
                <w:szCs w:val="24"/>
              </w:rPr>
              <w:t xml:space="preserve">pretendents var atsaukties uz </w:t>
            </w:r>
            <w:r w:rsidRPr="00EF4FC8">
              <w:rPr>
                <w:rFonts w:eastAsia="Calibri"/>
                <w:i/>
                <w:szCs w:val="24"/>
              </w:rPr>
              <w:t>pretendenta norādītās personas</w:t>
            </w:r>
            <w:r w:rsidRPr="00EF4FC8">
              <w:rPr>
                <w:i/>
                <w:szCs w:val="24"/>
              </w:rPr>
              <w:t xml:space="preserve"> iespējām (izņemot 4.2.1.punktā noteiktās prasības izpildei),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c>
          <w:tcPr>
            <w:tcW w:w="6379" w:type="dxa"/>
          </w:tcPr>
          <w:p w14:paraId="4503CADC" w14:textId="5DA0EADE" w:rsidR="00EF4FC8" w:rsidRPr="00EF4FC8" w:rsidRDefault="00EF4FC8" w:rsidP="00817707">
            <w:pPr>
              <w:spacing w:after="120"/>
              <w:rPr>
                <w:szCs w:val="24"/>
              </w:rPr>
            </w:pPr>
            <w:r w:rsidRPr="00EF4FC8">
              <w:rPr>
                <w:szCs w:val="24"/>
              </w:rPr>
              <w:t xml:space="preserve"> “pretendents var atsaukties uz </w:t>
            </w:r>
            <w:r w:rsidRPr="00EF4FC8">
              <w:rPr>
                <w:rFonts w:eastAsia="Calibri"/>
                <w:szCs w:val="24"/>
              </w:rPr>
              <w:t>pretendenta norādītās personas</w:t>
            </w:r>
            <w:r w:rsidRPr="00EF4FC8">
              <w:rPr>
                <w:szCs w:val="24"/>
              </w:rPr>
              <w:t xml:space="preserve">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r>
      <w:tr w:rsidR="00EF4FC8" w:rsidRPr="00EF4FC8" w14:paraId="0D62FEA4" w14:textId="77777777" w:rsidTr="00971F10">
        <w:trPr>
          <w:trHeight w:val="911"/>
          <w:jc w:val="center"/>
        </w:trPr>
        <w:tc>
          <w:tcPr>
            <w:tcW w:w="1762" w:type="dxa"/>
          </w:tcPr>
          <w:p w14:paraId="50277013" w14:textId="3DB201EC" w:rsidR="00EF4FC8" w:rsidRPr="00EF4FC8" w:rsidRDefault="00EF4FC8" w:rsidP="000E624B">
            <w:pPr>
              <w:rPr>
                <w:szCs w:val="24"/>
              </w:rPr>
            </w:pPr>
            <w:r w:rsidRPr="00EF4FC8">
              <w:rPr>
                <w:szCs w:val="24"/>
              </w:rPr>
              <w:t>Nolikuma 1.pielikuma 1.8.18.p.</w:t>
            </w:r>
          </w:p>
        </w:tc>
        <w:tc>
          <w:tcPr>
            <w:tcW w:w="4754" w:type="dxa"/>
          </w:tcPr>
          <w:p w14:paraId="14037673" w14:textId="7BFD40F5" w:rsidR="00EF4FC8" w:rsidRPr="00EF4FC8" w:rsidRDefault="00EF4FC8">
            <w:pPr>
              <w:rPr>
                <w:i/>
                <w:szCs w:val="24"/>
              </w:rPr>
            </w:pPr>
            <w:r w:rsidRPr="00EF4FC8">
              <w:rPr>
                <w:i/>
                <w:szCs w:val="24"/>
              </w:rPr>
              <w:t>Pretendents var apliecināt 4.2.1.punktā minēto prasību pats vai arī kopā ar citu tirgus dalībnieku, tādā gadījumā, apvienojoties personu apvienībā, kura kopumā atbild par līguma izpildi vai iesniedzot līdzvērtīgu pierādījumus (apņemšanos uz līguma izpildes brīdi izveidot apvienību, kas solidāri atbild par līguma izpildi un finansiālajām saistībām).</w:t>
            </w:r>
          </w:p>
        </w:tc>
        <w:tc>
          <w:tcPr>
            <w:tcW w:w="6379" w:type="dxa"/>
          </w:tcPr>
          <w:p w14:paraId="387C234C" w14:textId="3E1CD727" w:rsidR="00EF4FC8" w:rsidRPr="00EF4FC8" w:rsidRDefault="00307B5E" w:rsidP="00E766EE">
            <w:pPr>
              <w:spacing w:after="120"/>
              <w:rPr>
                <w:szCs w:val="24"/>
              </w:rPr>
            </w:pPr>
            <w:r w:rsidRPr="00EF4FC8" w:rsidDel="00307B5E">
              <w:rPr>
                <w:szCs w:val="24"/>
              </w:rPr>
              <w:t xml:space="preserve"> </w:t>
            </w:r>
            <w:r w:rsidR="00EF4FC8" w:rsidRPr="00EF4FC8">
              <w:rPr>
                <w:szCs w:val="24"/>
              </w:rPr>
              <w:t>“Pretendents var apliecināt 4.2.2.punktā minēto prasību pats vai arī kopā ar citu tirgus dalībnieku, tādā gadījumā, apvienojoties personu apvienībā, kura kopumā atbild par līguma izpildi vai iesniedzot līdzvērtīgu pierādījumus (apņemšanos uz līguma izpildes brīdi izveidot apvienību, kas solidāri atbild par līguma izpildi un finansiālajām saistībām);”</w:t>
            </w:r>
          </w:p>
        </w:tc>
      </w:tr>
      <w:tr w:rsidR="00EF4FC8" w:rsidRPr="00EF4FC8" w14:paraId="7E2239E3" w14:textId="77777777" w:rsidTr="00971F10">
        <w:trPr>
          <w:trHeight w:val="911"/>
          <w:jc w:val="center"/>
        </w:trPr>
        <w:tc>
          <w:tcPr>
            <w:tcW w:w="1762" w:type="dxa"/>
          </w:tcPr>
          <w:p w14:paraId="3CFA42BF" w14:textId="69CCC10F" w:rsidR="00EF4FC8" w:rsidRPr="00EF4FC8" w:rsidRDefault="00EF4FC8" w:rsidP="000E624B">
            <w:pPr>
              <w:rPr>
                <w:szCs w:val="24"/>
              </w:rPr>
            </w:pPr>
            <w:r w:rsidRPr="00EF4FC8">
              <w:rPr>
                <w:szCs w:val="24"/>
              </w:rPr>
              <w:t>Nolikuma 3.pielikuma 6.2.p.</w:t>
            </w:r>
          </w:p>
        </w:tc>
        <w:tc>
          <w:tcPr>
            <w:tcW w:w="4754" w:type="dxa"/>
          </w:tcPr>
          <w:p w14:paraId="70B4C7E9" w14:textId="74F4AE39" w:rsidR="00EF4FC8" w:rsidRPr="00EF4FC8" w:rsidRDefault="00EF4FC8" w:rsidP="00AB5C20">
            <w:pPr>
              <w:overflowPunct w:val="0"/>
              <w:autoSpaceDE w:val="0"/>
              <w:autoSpaceDN w:val="0"/>
              <w:adjustRightInd w:val="0"/>
              <w:ind w:left="57"/>
              <w:textAlignment w:val="baseline"/>
              <w:rPr>
                <w:rFonts w:eastAsia="Times New Roman"/>
                <w:i/>
                <w:szCs w:val="24"/>
              </w:rPr>
            </w:pPr>
            <w:r w:rsidRPr="00EF4FC8">
              <w:rPr>
                <w:i/>
                <w:szCs w:val="24"/>
              </w:rPr>
              <w:t xml:space="preserve">- </w:t>
            </w:r>
            <w:r w:rsidRPr="00EF4FC8">
              <w:rPr>
                <w:rFonts w:eastAsia="Times New Roman"/>
                <w:i/>
                <w:szCs w:val="24"/>
              </w:rPr>
              <w:t>Projekta vadītājam jābūt:</w:t>
            </w:r>
          </w:p>
          <w:p w14:paraId="62663805" w14:textId="77777777" w:rsidR="00EF4FC8" w:rsidRPr="00EF4FC8" w:rsidRDefault="00EF4FC8" w:rsidP="00AB5C20">
            <w:pPr>
              <w:numPr>
                <w:ilvl w:val="0"/>
                <w:numId w:val="4"/>
              </w:numPr>
              <w:spacing w:before="120" w:after="120"/>
              <w:ind w:left="709" w:hanging="291"/>
              <w:rPr>
                <w:rFonts w:eastAsia="Times New Roman"/>
                <w:i/>
                <w:szCs w:val="24"/>
              </w:rPr>
            </w:pPr>
            <w:r w:rsidRPr="00EF4FC8">
              <w:rPr>
                <w:rFonts w:eastAsia="Times New Roman"/>
                <w:i/>
                <w:szCs w:val="24"/>
              </w:rPr>
              <w:t>ar augstāko izglītību;</w:t>
            </w:r>
          </w:p>
          <w:p w14:paraId="067FF3C2" w14:textId="77777777" w:rsidR="00EF4FC8" w:rsidRPr="00EF4FC8" w:rsidRDefault="00EF4FC8" w:rsidP="00AB5C20">
            <w:pPr>
              <w:numPr>
                <w:ilvl w:val="0"/>
                <w:numId w:val="4"/>
              </w:numPr>
              <w:spacing w:before="120" w:after="120"/>
              <w:rPr>
                <w:rFonts w:eastAsia="Times New Roman"/>
                <w:i/>
                <w:szCs w:val="24"/>
              </w:rPr>
            </w:pPr>
            <w:r w:rsidRPr="00EF4FC8">
              <w:rPr>
                <w:rFonts w:eastAsia="Times New Roman"/>
                <w:i/>
                <w:szCs w:val="24"/>
              </w:rPr>
              <w:lastRenderedPageBreak/>
              <w:t>pabeigušam vismaz divus infrastruktūras izbūves/pārbūves darbu uzraudzības objektus FIDIC (vai ekvivalenta līguma) Inženiera projekta vadītāja amatā, no kuriem viens ir pabeigts dzelzceļa infrastruktūras izbūves/pārbūves darbu uzraudzības objekts FIDIC (vai ekvivalenta līguma) Inženiera projekta vadītāja amatā:</w:t>
            </w:r>
          </w:p>
          <w:p w14:paraId="75B70814" w14:textId="77777777" w:rsidR="00EF4FC8" w:rsidRPr="00EF4FC8" w:rsidRDefault="00EF4FC8" w:rsidP="00AB5C20">
            <w:pPr>
              <w:numPr>
                <w:ilvl w:val="0"/>
                <w:numId w:val="5"/>
              </w:numPr>
              <w:spacing w:before="120" w:after="120"/>
              <w:ind w:left="993" w:hanging="284"/>
              <w:rPr>
                <w:rFonts w:eastAsia="Times New Roman"/>
                <w:i/>
                <w:szCs w:val="24"/>
              </w:rPr>
            </w:pPr>
            <w:r w:rsidRPr="00EF4FC8">
              <w:rPr>
                <w:rFonts w:eastAsia="Times New Roman"/>
                <w:i/>
                <w:szCs w:val="24"/>
              </w:rPr>
              <w:t>kura uzraudzīto darbu vērtība ir vismaz EUR 20 000 000 (divdesmit miljoni euro) bez PVN;</w:t>
            </w:r>
          </w:p>
          <w:p w14:paraId="09BDE6B9" w14:textId="77777777" w:rsidR="00EF4FC8" w:rsidRPr="00EF4FC8" w:rsidRDefault="00EF4FC8" w:rsidP="00AB5C20">
            <w:pPr>
              <w:numPr>
                <w:ilvl w:val="0"/>
                <w:numId w:val="5"/>
              </w:numPr>
              <w:spacing w:before="120" w:after="120"/>
              <w:ind w:left="993" w:hanging="284"/>
              <w:rPr>
                <w:rFonts w:eastAsia="Times New Roman"/>
                <w:i/>
                <w:szCs w:val="24"/>
              </w:rPr>
            </w:pPr>
            <w:r w:rsidRPr="00EF4FC8">
              <w:rPr>
                <w:rFonts w:eastAsia="Times New Roman"/>
                <w:i/>
                <w:szCs w:val="24"/>
              </w:rPr>
              <w:t>kurš nodots ekspluatācijā pēdējo piecu gadu laikā.</w:t>
            </w:r>
          </w:p>
          <w:p w14:paraId="67DF6CA1" w14:textId="0CD7FCA8" w:rsidR="00EF4FC8" w:rsidRPr="00EF4FC8" w:rsidRDefault="00EF4FC8" w:rsidP="006E26E0">
            <w:pPr>
              <w:spacing w:before="120" w:after="120"/>
              <w:rPr>
                <w:i/>
                <w:szCs w:val="24"/>
              </w:rPr>
            </w:pPr>
            <w:r w:rsidRPr="00EF4FC8">
              <w:rPr>
                <w:rFonts w:eastAsia="Times New Roman"/>
                <w:i/>
                <w:szCs w:val="24"/>
              </w:rPr>
              <w:t>Projekta vadītājs Inženiera vārdā vada un koordinē šī Līguma izpildi, vada Inženiera speciālistu darbību, apstiprina un paraksta ar Līguma izpildi saistītos dokumentus.</w:t>
            </w:r>
          </w:p>
        </w:tc>
        <w:tc>
          <w:tcPr>
            <w:tcW w:w="6379" w:type="dxa"/>
          </w:tcPr>
          <w:p w14:paraId="4C5904A8" w14:textId="676987AA" w:rsidR="00EF4FC8" w:rsidRPr="00EF4FC8" w:rsidRDefault="00307B5E" w:rsidP="00EF4FC8">
            <w:pPr>
              <w:overflowPunct w:val="0"/>
              <w:autoSpaceDE w:val="0"/>
              <w:autoSpaceDN w:val="0"/>
              <w:adjustRightInd w:val="0"/>
              <w:textAlignment w:val="baseline"/>
              <w:rPr>
                <w:b/>
                <w:szCs w:val="24"/>
                <w:u w:val="single"/>
              </w:rPr>
            </w:pPr>
            <w:r w:rsidRPr="00EF4FC8" w:rsidDel="00307B5E">
              <w:rPr>
                <w:szCs w:val="24"/>
              </w:rPr>
              <w:lastRenderedPageBreak/>
              <w:t xml:space="preserve"> </w:t>
            </w:r>
            <w:r w:rsidR="00EF4FC8" w:rsidRPr="00EF4FC8">
              <w:rPr>
                <w:b/>
                <w:szCs w:val="24"/>
                <w:u w:val="single"/>
              </w:rPr>
              <w:t>“Projekta vadītājs</w:t>
            </w:r>
          </w:p>
          <w:p w14:paraId="0E147661" w14:textId="77777777" w:rsidR="00EF4FC8" w:rsidRPr="00EF4FC8" w:rsidRDefault="00EF4FC8" w:rsidP="00EF4FC8">
            <w:pPr>
              <w:overflowPunct w:val="0"/>
              <w:autoSpaceDE w:val="0"/>
              <w:autoSpaceDN w:val="0"/>
              <w:adjustRightInd w:val="0"/>
              <w:textAlignment w:val="baseline"/>
              <w:rPr>
                <w:szCs w:val="24"/>
              </w:rPr>
            </w:pPr>
            <w:r w:rsidRPr="00EF4FC8">
              <w:rPr>
                <w:szCs w:val="24"/>
              </w:rPr>
              <w:t>Projekta vadītājam jābūt:</w:t>
            </w:r>
          </w:p>
          <w:p w14:paraId="420E1671" w14:textId="77777777" w:rsidR="00EF4FC8" w:rsidRPr="00EF4FC8" w:rsidRDefault="00EF4FC8" w:rsidP="00EF4FC8">
            <w:pPr>
              <w:numPr>
                <w:ilvl w:val="0"/>
                <w:numId w:val="4"/>
              </w:numPr>
              <w:spacing w:before="120" w:after="120"/>
              <w:ind w:left="0" w:firstLine="0"/>
              <w:rPr>
                <w:szCs w:val="24"/>
              </w:rPr>
            </w:pPr>
            <w:r w:rsidRPr="00EF4FC8">
              <w:rPr>
                <w:szCs w:val="24"/>
              </w:rPr>
              <w:t>ar augstāko izglītību;</w:t>
            </w:r>
          </w:p>
          <w:p w14:paraId="317FD786" w14:textId="77777777" w:rsidR="00EF4FC8" w:rsidRPr="00EF4FC8" w:rsidRDefault="00EF4FC8" w:rsidP="00EF4FC8">
            <w:pPr>
              <w:numPr>
                <w:ilvl w:val="0"/>
                <w:numId w:val="4"/>
              </w:numPr>
              <w:spacing w:before="120" w:after="120"/>
              <w:ind w:left="0" w:firstLine="0"/>
              <w:rPr>
                <w:szCs w:val="24"/>
              </w:rPr>
            </w:pPr>
            <w:r w:rsidRPr="00EF4FC8">
              <w:rPr>
                <w:szCs w:val="24"/>
              </w:rPr>
              <w:lastRenderedPageBreak/>
              <w:t>pabeigušam vismaz vienu infrastruktūras izbūves/pārbūves darbu uzraudzības objektu, kurš nodots ekspluatācijā pēdējo piecu gadu laikā, projektēšanas un būvdarbu līguma ietvaros (pēc FIDIC līguma noteikumiem vai līdzvērtīga līguma) Inženiera projekta vadītāja amatā;</w:t>
            </w:r>
          </w:p>
          <w:p w14:paraId="107C0DCB" w14:textId="77777777" w:rsidR="00EF4FC8" w:rsidRPr="00EF4FC8" w:rsidRDefault="00EF4FC8" w:rsidP="00EF4FC8">
            <w:pPr>
              <w:numPr>
                <w:ilvl w:val="0"/>
                <w:numId w:val="4"/>
              </w:numPr>
              <w:spacing w:before="120" w:after="120"/>
              <w:ind w:left="0" w:firstLine="0"/>
              <w:rPr>
                <w:szCs w:val="24"/>
              </w:rPr>
            </w:pPr>
            <w:r w:rsidRPr="00EF4FC8">
              <w:rPr>
                <w:szCs w:val="24"/>
              </w:rPr>
              <w:t xml:space="preserve">pabeigušam vismaz  vienu dzelzceļa infrastruktūras izbūves/pārbūves darbu uzraudzības objektu, kurš nodots ekspluatācijā pēdējo piecu gadu laikā un, kura uzraudzīto darbu vērtība ir vismaz EUR 20 000 000 (divdesmit miljoni </w:t>
            </w:r>
            <w:r w:rsidRPr="00EF4FC8">
              <w:rPr>
                <w:i/>
                <w:szCs w:val="24"/>
              </w:rPr>
              <w:t>euro</w:t>
            </w:r>
            <w:r w:rsidRPr="00EF4FC8">
              <w:rPr>
                <w:szCs w:val="24"/>
              </w:rPr>
              <w:t>) bez PVN, projekta vadītāja amatā;</w:t>
            </w:r>
            <w:r w:rsidRPr="00EF4FC8" w:rsidDel="008E6719">
              <w:rPr>
                <w:szCs w:val="24"/>
              </w:rPr>
              <w:t xml:space="preserve"> </w:t>
            </w:r>
          </w:p>
          <w:p w14:paraId="0229DD9F" w14:textId="77777777" w:rsidR="00EF4FC8" w:rsidRPr="00EF4FC8" w:rsidRDefault="00EF4FC8" w:rsidP="00EF4FC8">
            <w:pPr>
              <w:spacing w:before="120" w:after="120"/>
              <w:rPr>
                <w:szCs w:val="24"/>
              </w:rPr>
            </w:pPr>
            <w:r w:rsidRPr="00EF4FC8">
              <w:rPr>
                <w:szCs w:val="24"/>
              </w:rPr>
              <w:t>Ja ar vienu līgumu tiek izpildīti abi minētie nosacījumi, tad atbilstība šim punktam tiek izpildīta ar viena līguma pieredzi.</w:t>
            </w:r>
          </w:p>
          <w:p w14:paraId="0E69710A" w14:textId="298EF24B" w:rsidR="00EF4FC8" w:rsidRPr="00EF4FC8" w:rsidRDefault="00EF4FC8" w:rsidP="00EF4FC8">
            <w:pPr>
              <w:spacing w:after="120"/>
              <w:rPr>
                <w:szCs w:val="24"/>
              </w:rPr>
            </w:pPr>
            <w:r w:rsidRPr="00EF4FC8">
              <w:rPr>
                <w:szCs w:val="24"/>
              </w:rPr>
              <w:t>Projekta vadītājs Inženiera vārdā vada un koordinē šī Līguma izpildi, vada Inženiera speciālistu darbību, apstiprina un paraksta ar Līguma izpildi saistītos dokumentus.</w:t>
            </w:r>
            <w:r w:rsidR="001C212B">
              <w:rPr>
                <w:szCs w:val="24"/>
              </w:rPr>
              <w:t>”</w:t>
            </w:r>
          </w:p>
        </w:tc>
      </w:tr>
      <w:tr w:rsidR="00EF4FC8" w:rsidRPr="00EF4FC8" w14:paraId="3A8EEE62" w14:textId="77777777" w:rsidTr="00971F10">
        <w:trPr>
          <w:jc w:val="center"/>
        </w:trPr>
        <w:tc>
          <w:tcPr>
            <w:tcW w:w="1762" w:type="dxa"/>
          </w:tcPr>
          <w:p w14:paraId="59DBCF22" w14:textId="77777777" w:rsidR="00EF4FC8" w:rsidRPr="00EF4FC8" w:rsidRDefault="00EF4FC8" w:rsidP="00AB5C20">
            <w:pPr>
              <w:spacing w:after="120"/>
              <w:rPr>
                <w:rFonts w:eastAsia="Times New Roman"/>
                <w:szCs w:val="24"/>
              </w:rPr>
            </w:pPr>
            <w:r w:rsidRPr="00EF4FC8">
              <w:rPr>
                <w:rFonts w:eastAsia="Times New Roman"/>
                <w:szCs w:val="24"/>
              </w:rPr>
              <w:lastRenderedPageBreak/>
              <w:t xml:space="preserve">Nolikuma 3.pielikuma 6.2.p. </w:t>
            </w:r>
          </w:p>
          <w:p w14:paraId="0E364E50" w14:textId="3ECD1273" w:rsidR="00EF4FC8" w:rsidRPr="00EF4FC8" w:rsidRDefault="00EF4FC8" w:rsidP="000E624B">
            <w:pPr>
              <w:rPr>
                <w:szCs w:val="24"/>
              </w:rPr>
            </w:pPr>
          </w:p>
        </w:tc>
        <w:tc>
          <w:tcPr>
            <w:tcW w:w="4754" w:type="dxa"/>
          </w:tcPr>
          <w:p w14:paraId="0F58E5FA" w14:textId="77777777" w:rsidR="00EF4FC8" w:rsidRPr="00EF4FC8" w:rsidRDefault="00EF4FC8" w:rsidP="00525211">
            <w:pPr>
              <w:spacing w:after="120"/>
              <w:rPr>
                <w:rFonts w:eastAsia="Times New Roman"/>
                <w:i/>
                <w:szCs w:val="24"/>
              </w:rPr>
            </w:pPr>
            <w:r w:rsidRPr="00EF4FC8">
              <w:rPr>
                <w:rFonts w:eastAsia="Times New Roman"/>
                <w:i/>
                <w:szCs w:val="24"/>
              </w:rPr>
              <w:t>Dzelzceļa sliežu ceļu būvdarbu būvuzraugam jābūt:</w:t>
            </w:r>
          </w:p>
          <w:p w14:paraId="607B5081" w14:textId="77777777" w:rsidR="00EF4FC8" w:rsidRPr="00EF4FC8" w:rsidRDefault="00EF4FC8" w:rsidP="00525211">
            <w:pPr>
              <w:numPr>
                <w:ilvl w:val="0"/>
                <w:numId w:val="7"/>
              </w:numPr>
              <w:rPr>
                <w:rFonts w:eastAsia="Times New Roman"/>
                <w:i/>
                <w:szCs w:val="24"/>
              </w:rPr>
            </w:pPr>
            <w:r w:rsidRPr="00EF4FC8">
              <w:rPr>
                <w:rFonts w:eastAsia="Times New Roman"/>
                <w:i/>
                <w:szCs w:val="24"/>
              </w:rPr>
              <w:t>sertificētam dzelzceļa sliežu ceļu būvdarbu būvuzraudzībā;</w:t>
            </w:r>
          </w:p>
          <w:p w14:paraId="75CC56E7" w14:textId="77777777" w:rsidR="00EF4FC8" w:rsidRPr="00EF4FC8" w:rsidRDefault="00EF4FC8" w:rsidP="00525211">
            <w:pPr>
              <w:numPr>
                <w:ilvl w:val="0"/>
                <w:numId w:val="7"/>
              </w:numPr>
              <w:ind w:left="709" w:hanging="283"/>
              <w:rPr>
                <w:rFonts w:eastAsia="Times New Roman"/>
                <w:i/>
                <w:szCs w:val="24"/>
              </w:rPr>
            </w:pPr>
            <w:r w:rsidRPr="00EF4FC8">
              <w:rPr>
                <w:rFonts w:eastAsia="Times New Roman"/>
                <w:i/>
                <w:szCs w:val="24"/>
              </w:rPr>
              <w:t>vismaz divos dzelzceļa infrastruktūras izbūves/pārbūves objektos veikušam dzelzceļa sliežu ceļa darbu uzraudzību un/vai būvuzraudzību, kuri nodoti ekspluatācijā, kurā:</w:t>
            </w:r>
          </w:p>
          <w:p w14:paraId="3B2EC74A" w14:textId="77777777" w:rsidR="00EF4FC8" w:rsidRPr="00EF4FC8" w:rsidRDefault="00EF4FC8" w:rsidP="00525211">
            <w:pPr>
              <w:numPr>
                <w:ilvl w:val="0"/>
                <w:numId w:val="6"/>
              </w:numPr>
              <w:ind w:left="993" w:hanging="284"/>
              <w:rPr>
                <w:rFonts w:eastAsia="Times New Roman"/>
                <w:i/>
                <w:szCs w:val="24"/>
              </w:rPr>
            </w:pPr>
            <w:r w:rsidRPr="00EF4FC8">
              <w:rPr>
                <w:rFonts w:eastAsia="Times New Roman"/>
                <w:i/>
                <w:szCs w:val="24"/>
              </w:rPr>
              <w:t>izbūvēto/pārbūvēto sliežu ceļu kopējais garums ir ne mazāks par 10 km.</w:t>
            </w:r>
          </w:p>
          <w:p w14:paraId="0CA046F7" w14:textId="77777777" w:rsidR="00EF4FC8" w:rsidRPr="00EF4FC8" w:rsidRDefault="00EF4FC8" w:rsidP="00525211">
            <w:pPr>
              <w:overflowPunct w:val="0"/>
              <w:autoSpaceDE w:val="0"/>
              <w:autoSpaceDN w:val="0"/>
              <w:adjustRightInd w:val="0"/>
              <w:ind w:left="57"/>
              <w:textAlignment w:val="baseline"/>
              <w:rPr>
                <w:i/>
                <w:szCs w:val="24"/>
              </w:rPr>
            </w:pPr>
          </w:p>
        </w:tc>
        <w:tc>
          <w:tcPr>
            <w:tcW w:w="6379" w:type="dxa"/>
          </w:tcPr>
          <w:p w14:paraId="247EB922" w14:textId="0AE21A5D" w:rsidR="00EF4FC8" w:rsidRPr="00EF4FC8" w:rsidRDefault="00307B5E" w:rsidP="003B4B3B">
            <w:pPr>
              <w:overflowPunct w:val="0"/>
              <w:autoSpaceDE w:val="0"/>
              <w:autoSpaceDN w:val="0"/>
              <w:adjustRightInd w:val="0"/>
              <w:ind w:left="57"/>
              <w:textAlignment w:val="baseline"/>
              <w:rPr>
                <w:b/>
                <w:szCs w:val="24"/>
                <w:u w:val="single"/>
              </w:rPr>
            </w:pPr>
            <w:bookmarkStart w:id="1" w:name="_Ref476674964"/>
            <w:r w:rsidRPr="00EF4FC8" w:rsidDel="00307B5E">
              <w:rPr>
                <w:szCs w:val="24"/>
              </w:rPr>
              <w:t xml:space="preserve"> </w:t>
            </w:r>
            <w:r w:rsidR="00EF4FC8" w:rsidRPr="00EF4FC8">
              <w:rPr>
                <w:b/>
                <w:szCs w:val="24"/>
                <w:u w:val="single"/>
              </w:rPr>
              <w:t>“Dzelzceļa sliežu ceļu būvdarbu būvuzraugs - atbildīgais būvuzraugs</w:t>
            </w:r>
            <w:bookmarkEnd w:id="1"/>
          </w:p>
          <w:p w14:paraId="2C9114C2" w14:textId="77777777" w:rsidR="00EF4FC8" w:rsidRPr="00EF4FC8" w:rsidRDefault="00EF4FC8" w:rsidP="003B4B3B">
            <w:pPr>
              <w:spacing w:after="120"/>
              <w:rPr>
                <w:szCs w:val="24"/>
              </w:rPr>
            </w:pPr>
            <w:r w:rsidRPr="00EF4FC8">
              <w:rPr>
                <w:szCs w:val="24"/>
              </w:rPr>
              <w:t>Dzelzceļa sliežu ceļu būvdarbu būvuzraugam jābūt:</w:t>
            </w:r>
          </w:p>
          <w:p w14:paraId="54D63449" w14:textId="77777777" w:rsidR="00EF4FC8" w:rsidRPr="00EF4FC8" w:rsidRDefault="00EF4FC8" w:rsidP="003B4B3B">
            <w:pPr>
              <w:numPr>
                <w:ilvl w:val="0"/>
                <w:numId w:val="7"/>
              </w:numPr>
              <w:ind w:left="459"/>
              <w:rPr>
                <w:szCs w:val="24"/>
              </w:rPr>
            </w:pPr>
            <w:r w:rsidRPr="00EF4FC8">
              <w:rPr>
                <w:szCs w:val="24"/>
              </w:rPr>
              <w:t>sertificētam dzelzceļa sliežu ceļu būvdarbu būvuzraudzībā;</w:t>
            </w:r>
          </w:p>
          <w:p w14:paraId="38A0BE3E" w14:textId="77777777" w:rsidR="00EF4FC8" w:rsidRPr="00EF4FC8" w:rsidRDefault="00EF4FC8" w:rsidP="003B4B3B">
            <w:pPr>
              <w:numPr>
                <w:ilvl w:val="0"/>
                <w:numId w:val="7"/>
              </w:numPr>
              <w:ind w:left="459" w:hanging="283"/>
              <w:rPr>
                <w:szCs w:val="24"/>
              </w:rPr>
            </w:pPr>
            <w:r w:rsidRPr="00EF4FC8">
              <w:rPr>
                <w:szCs w:val="24"/>
              </w:rPr>
              <w:t>vismaz divos dzelzceļa infrastruktūras izbūves/pārbūves objektos veikušam dzelzceļa sliežu ceļa darbu uzraudzību un/vai būvuzraudzību, kuri nodoti ekspluatācijā, kurā:</w:t>
            </w:r>
          </w:p>
          <w:p w14:paraId="09AF35AE" w14:textId="6A50F11A" w:rsidR="00EF4FC8" w:rsidRPr="00EF4FC8" w:rsidRDefault="00EF4FC8" w:rsidP="003B4B3B">
            <w:pPr>
              <w:numPr>
                <w:ilvl w:val="0"/>
                <w:numId w:val="6"/>
              </w:numPr>
              <w:ind w:left="743" w:hanging="284"/>
              <w:rPr>
                <w:szCs w:val="24"/>
              </w:rPr>
            </w:pPr>
            <w:r w:rsidRPr="00EF4FC8">
              <w:rPr>
                <w:szCs w:val="24"/>
              </w:rPr>
              <w:t>izbūvēto/pārbūvēto sliežu ceļu kopējais garums abos objektos kopā ir  vismaz 10 km.</w:t>
            </w:r>
          </w:p>
          <w:p w14:paraId="21AB0FEE" w14:textId="77777777" w:rsidR="00EF4FC8" w:rsidRPr="00EF4FC8" w:rsidRDefault="00EF4FC8">
            <w:pPr>
              <w:rPr>
                <w:szCs w:val="24"/>
              </w:rPr>
            </w:pPr>
            <w:r w:rsidRPr="00EF4FC8">
              <w:rPr>
                <w:szCs w:val="24"/>
              </w:rPr>
              <w:t>Būvdarbu laikā atbildīgajam būvuzraugam jābūt pilna darba laika piesaistei.”</w:t>
            </w:r>
          </w:p>
        </w:tc>
      </w:tr>
      <w:tr w:rsidR="00EF4FC8" w:rsidRPr="00EF4FC8" w14:paraId="457D1AC2" w14:textId="77777777" w:rsidTr="00971F10">
        <w:trPr>
          <w:jc w:val="center"/>
        </w:trPr>
        <w:tc>
          <w:tcPr>
            <w:tcW w:w="1762" w:type="dxa"/>
          </w:tcPr>
          <w:p w14:paraId="48CA483D" w14:textId="77777777" w:rsidR="00EF4FC8" w:rsidRPr="00EF4FC8" w:rsidRDefault="00EF4FC8" w:rsidP="00AB5C20">
            <w:pPr>
              <w:spacing w:after="120"/>
              <w:rPr>
                <w:rFonts w:eastAsia="Times New Roman"/>
                <w:szCs w:val="24"/>
              </w:rPr>
            </w:pPr>
            <w:r w:rsidRPr="00EF4FC8">
              <w:rPr>
                <w:rFonts w:eastAsia="Times New Roman"/>
                <w:szCs w:val="24"/>
              </w:rPr>
              <w:t>Nolikuma 3.pielikuma 6.2.p.</w:t>
            </w:r>
          </w:p>
          <w:p w14:paraId="185C0609" w14:textId="5FE8063D" w:rsidR="00EF4FC8" w:rsidRPr="00EF4FC8" w:rsidRDefault="00EF4FC8" w:rsidP="000E624B">
            <w:pPr>
              <w:rPr>
                <w:szCs w:val="24"/>
              </w:rPr>
            </w:pPr>
          </w:p>
        </w:tc>
        <w:tc>
          <w:tcPr>
            <w:tcW w:w="4754" w:type="dxa"/>
          </w:tcPr>
          <w:p w14:paraId="1429EFFA" w14:textId="77777777" w:rsidR="00EF4FC8" w:rsidRPr="00EF4FC8" w:rsidRDefault="00EF4FC8" w:rsidP="00EF4FC8">
            <w:pPr>
              <w:overflowPunct w:val="0"/>
              <w:autoSpaceDE w:val="0"/>
              <w:autoSpaceDN w:val="0"/>
              <w:adjustRightInd w:val="0"/>
              <w:ind w:left="57"/>
              <w:textAlignment w:val="baseline"/>
              <w:rPr>
                <w:rFonts w:eastAsia="Times New Roman"/>
                <w:i/>
                <w:szCs w:val="24"/>
              </w:rPr>
            </w:pPr>
            <w:r w:rsidRPr="00EF4FC8">
              <w:rPr>
                <w:rFonts w:eastAsia="Times New Roman"/>
                <w:i/>
                <w:szCs w:val="24"/>
              </w:rPr>
              <w:lastRenderedPageBreak/>
              <w:t>Siltumapgādes, ventilācijas un gaisa kondicionēšanas sistēmu būvdarbu būvuzraugam jābūt:</w:t>
            </w:r>
          </w:p>
          <w:p w14:paraId="27E812A7" w14:textId="77777777" w:rsidR="00EF4FC8" w:rsidRPr="00EF4FC8" w:rsidRDefault="00EF4FC8" w:rsidP="00EF4FC8">
            <w:pPr>
              <w:numPr>
                <w:ilvl w:val="0"/>
                <w:numId w:val="8"/>
              </w:numPr>
              <w:spacing w:after="120"/>
              <w:ind w:left="57" w:firstLine="0"/>
              <w:rPr>
                <w:rFonts w:eastAsia="Times New Roman"/>
                <w:i/>
                <w:szCs w:val="24"/>
              </w:rPr>
            </w:pPr>
            <w:r w:rsidRPr="00EF4FC8">
              <w:rPr>
                <w:rFonts w:eastAsia="Times New Roman"/>
                <w:i/>
                <w:szCs w:val="24"/>
              </w:rPr>
              <w:lastRenderedPageBreak/>
              <w:t>sertificētam siltumapgādes, ventilācijas un gaisa kondicionēšanas sistēmu būvdarbu būvuzraudzībā;</w:t>
            </w:r>
          </w:p>
          <w:p w14:paraId="2D136C63" w14:textId="6BF1FAF5" w:rsidR="00EF4FC8" w:rsidRPr="00EF4FC8" w:rsidRDefault="00EF4FC8" w:rsidP="001C212B">
            <w:pPr>
              <w:numPr>
                <w:ilvl w:val="0"/>
                <w:numId w:val="8"/>
              </w:numPr>
              <w:spacing w:after="120"/>
              <w:ind w:left="57" w:firstLine="0"/>
              <w:rPr>
                <w:rFonts w:eastAsia="Times New Roman"/>
                <w:i/>
                <w:szCs w:val="24"/>
              </w:rPr>
            </w:pPr>
            <w:r w:rsidRPr="00EF4FC8">
              <w:rPr>
                <w:rFonts w:eastAsia="Times New Roman"/>
                <w:i/>
                <w:szCs w:val="24"/>
              </w:rPr>
              <w:t>vismaz divos objektos veikušam siltumapgādes, ventilācijas un gaisa kondicionēšanas sistēmu (t.sk. centralizētās, apkures sistēmas, gāzes katli, siltummezgli) būvdarbu būvuzraudzību, kuri nodoti ekspluatācijā.</w:t>
            </w:r>
          </w:p>
        </w:tc>
        <w:tc>
          <w:tcPr>
            <w:tcW w:w="6379" w:type="dxa"/>
          </w:tcPr>
          <w:p w14:paraId="1995EBBA" w14:textId="77777777" w:rsidR="00EF4FC8" w:rsidRPr="00EF4FC8" w:rsidRDefault="00EF4FC8" w:rsidP="006E26E0">
            <w:pPr>
              <w:overflowPunct w:val="0"/>
              <w:autoSpaceDE w:val="0"/>
              <w:autoSpaceDN w:val="0"/>
              <w:adjustRightInd w:val="0"/>
              <w:ind w:left="57"/>
              <w:textAlignment w:val="baseline"/>
              <w:rPr>
                <w:b/>
                <w:szCs w:val="24"/>
                <w:u w:val="single"/>
              </w:rPr>
            </w:pPr>
            <w:bookmarkStart w:id="2" w:name="_Ref476674449"/>
            <w:bookmarkStart w:id="3" w:name="_Ref476662737"/>
            <w:r w:rsidRPr="00EF4FC8">
              <w:rPr>
                <w:b/>
                <w:szCs w:val="24"/>
                <w:u w:val="single"/>
              </w:rPr>
              <w:lastRenderedPageBreak/>
              <w:t>“Siltumapgādes, ventilācijas un gaisa kondicionēšanas sistēmu būvdarbu būvuzraugs</w:t>
            </w:r>
            <w:bookmarkEnd w:id="2"/>
          </w:p>
          <w:p w14:paraId="2781059B" w14:textId="184E6BB3" w:rsidR="00EF4FC8" w:rsidRPr="00EF4FC8" w:rsidRDefault="00EF4FC8" w:rsidP="006E26E0">
            <w:pPr>
              <w:overflowPunct w:val="0"/>
              <w:autoSpaceDE w:val="0"/>
              <w:autoSpaceDN w:val="0"/>
              <w:adjustRightInd w:val="0"/>
              <w:ind w:left="57"/>
              <w:textAlignment w:val="baseline"/>
              <w:rPr>
                <w:szCs w:val="24"/>
              </w:rPr>
            </w:pPr>
            <w:r w:rsidRPr="00EF4FC8">
              <w:rPr>
                <w:szCs w:val="24"/>
              </w:rPr>
              <w:lastRenderedPageBreak/>
              <w:t>Siltumapgādes, ventilācijas un gaisa kondicionēšanas sistēmu būvdarbu būvuzraugam jābūt:</w:t>
            </w:r>
            <w:bookmarkEnd w:id="3"/>
          </w:p>
          <w:p w14:paraId="1BC0C648" w14:textId="77777777" w:rsidR="00EF4FC8" w:rsidRPr="00EF4FC8" w:rsidRDefault="00EF4FC8" w:rsidP="006E26E0">
            <w:pPr>
              <w:numPr>
                <w:ilvl w:val="0"/>
                <w:numId w:val="8"/>
              </w:numPr>
              <w:spacing w:after="120"/>
              <w:ind w:left="57" w:firstLine="0"/>
              <w:rPr>
                <w:szCs w:val="24"/>
              </w:rPr>
            </w:pPr>
            <w:r w:rsidRPr="00EF4FC8">
              <w:rPr>
                <w:szCs w:val="24"/>
              </w:rPr>
              <w:t>sertificētam siltumapgādes, ventilācijas un gaisa kondicionēšanas sistēmu būvdarbu būvuzraudzībā;</w:t>
            </w:r>
          </w:p>
          <w:p w14:paraId="4D8369C2" w14:textId="77777777" w:rsidR="00EF4FC8" w:rsidRPr="00EF4FC8" w:rsidRDefault="00EF4FC8" w:rsidP="006E26E0">
            <w:pPr>
              <w:numPr>
                <w:ilvl w:val="0"/>
                <w:numId w:val="8"/>
              </w:numPr>
              <w:spacing w:after="120"/>
              <w:ind w:left="57" w:firstLine="0"/>
              <w:rPr>
                <w:szCs w:val="24"/>
              </w:rPr>
            </w:pPr>
            <w:r w:rsidRPr="00EF4FC8">
              <w:rPr>
                <w:szCs w:val="24"/>
              </w:rPr>
              <w:t>vismaz vienā objektā veikušam siltumapgādes, ventilācijas un gaisa kondicionēšanas sistēmu (t.sk. centralizētās, apkures sistēmas,  siltummezgli) būvdarbu būvuzraudzību, kas nodots ekspluatācijā.”</w:t>
            </w:r>
          </w:p>
        </w:tc>
      </w:tr>
      <w:tr w:rsidR="00EF4FC8" w:rsidRPr="00EF4FC8" w14:paraId="24A0DB9D" w14:textId="77777777" w:rsidTr="00971F10">
        <w:trPr>
          <w:jc w:val="center"/>
        </w:trPr>
        <w:tc>
          <w:tcPr>
            <w:tcW w:w="1762" w:type="dxa"/>
          </w:tcPr>
          <w:p w14:paraId="0FF0052D" w14:textId="77777777" w:rsidR="00EF4FC8" w:rsidRPr="00EF4FC8" w:rsidRDefault="00EF4FC8" w:rsidP="00AB5C20">
            <w:pPr>
              <w:rPr>
                <w:rFonts w:eastAsia="Times New Roman"/>
                <w:szCs w:val="24"/>
              </w:rPr>
            </w:pPr>
            <w:r w:rsidRPr="00EF4FC8">
              <w:rPr>
                <w:rFonts w:eastAsia="Times New Roman"/>
                <w:szCs w:val="24"/>
              </w:rPr>
              <w:lastRenderedPageBreak/>
              <w:t>Nolikuma 3.pielikuma 6.2.p.</w:t>
            </w:r>
          </w:p>
          <w:p w14:paraId="6B7851CD" w14:textId="6B2EA5E1" w:rsidR="00EF4FC8" w:rsidRPr="00EF4FC8" w:rsidRDefault="00EF4FC8" w:rsidP="000E624B">
            <w:pPr>
              <w:rPr>
                <w:szCs w:val="24"/>
              </w:rPr>
            </w:pPr>
          </w:p>
        </w:tc>
        <w:tc>
          <w:tcPr>
            <w:tcW w:w="4754" w:type="dxa"/>
          </w:tcPr>
          <w:p w14:paraId="5B33E931" w14:textId="77777777" w:rsidR="00EF4FC8" w:rsidRPr="00EF4FC8" w:rsidRDefault="00EF4FC8" w:rsidP="00EF4FC8">
            <w:pPr>
              <w:rPr>
                <w:rFonts w:eastAsia="Times New Roman"/>
                <w:bCs/>
                <w:i/>
                <w:szCs w:val="24"/>
              </w:rPr>
            </w:pPr>
            <w:r w:rsidRPr="00EF4FC8">
              <w:rPr>
                <w:rFonts w:eastAsia="Times New Roman"/>
                <w:i/>
                <w:szCs w:val="24"/>
              </w:rPr>
              <w:t>Dzelzceļa</w:t>
            </w:r>
            <w:r w:rsidRPr="00EF4FC8">
              <w:rPr>
                <w:rFonts w:eastAsia="Times New Roman"/>
                <w:bCs/>
                <w:i/>
                <w:szCs w:val="24"/>
              </w:rPr>
              <w:t xml:space="preserve"> signalizācijas sistēmas speciālistam jābūt: </w:t>
            </w:r>
          </w:p>
          <w:p w14:paraId="7185E818" w14:textId="77777777" w:rsidR="00EF4FC8" w:rsidRPr="00EF4FC8" w:rsidRDefault="00EF4FC8" w:rsidP="00EF4FC8">
            <w:pPr>
              <w:numPr>
                <w:ilvl w:val="0"/>
                <w:numId w:val="9"/>
              </w:numPr>
              <w:ind w:left="0" w:firstLine="0"/>
              <w:contextualSpacing/>
              <w:rPr>
                <w:rFonts w:eastAsia="Times New Roman"/>
                <w:i/>
                <w:szCs w:val="24"/>
              </w:rPr>
            </w:pPr>
            <w:r w:rsidRPr="00EF4FC8">
              <w:rPr>
                <w:rFonts w:eastAsia="Times New Roman"/>
                <w:i/>
                <w:szCs w:val="24"/>
              </w:rPr>
              <w:t>ar augstāko izglītību;</w:t>
            </w:r>
          </w:p>
          <w:p w14:paraId="3925E51E" w14:textId="77777777" w:rsidR="00EF4FC8" w:rsidRPr="00EF4FC8" w:rsidRDefault="00EF4FC8" w:rsidP="00EF4FC8">
            <w:pPr>
              <w:numPr>
                <w:ilvl w:val="0"/>
                <w:numId w:val="9"/>
              </w:numPr>
              <w:ind w:left="0" w:firstLine="0"/>
              <w:contextualSpacing/>
              <w:rPr>
                <w:rFonts w:eastAsia="Times New Roman"/>
                <w:i/>
                <w:szCs w:val="24"/>
              </w:rPr>
            </w:pPr>
            <w:r w:rsidRPr="00EF4FC8">
              <w:rPr>
                <w:rFonts w:eastAsia="Times New Roman"/>
                <w:i/>
                <w:szCs w:val="24"/>
              </w:rPr>
              <w:t>vismaz vienā dzelzceļa infrastruktūras objektā, kas nodots ekspluatācijā pēdējo  piecu gadu laikā, veikušam mikroprocesoru centralizācijas vilcienu kustības vadības sistēmas projektēšanas un   ieviešanas uzraudzību, t.i., pārbaudījis, izvērtējis un saskaņojis/apstiprinājis izstrādātās sistēmas projektēšanas dokumentāciju un sistēmas atbilstību CENELEC standartu prasībām, kur MPC sistēmā ir ieslēgtas ne mazāk par 30 pārmiju pārvedām.</w:t>
            </w:r>
          </w:p>
          <w:p w14:paraId="7DD3883C" w14:textId="77777777" w:rsidR="00EF4FC8" w:rsidRPr="00EF4FC8" w:rsidRDefault="00EF4FC8" w:rsidP="00EF4FC8">
            <w:pPr>
              <w:spacing w:after="120"/>
              <w:rPr>
                <w:rFonts w:eastAsia="Times New Roman"/>
                <w:i/>
                <w:szCs w:val="24"/>
              </w:rPr>
            </w:pPr>
          </w:p>
        </w:tc>
        <w:tc>
          <w:tcPr>
            <w:tcW w:w="6379" w:type="dxa"/>
          </w:tcPr>
          <w:p w14:paraId="4ADED043" w14:textId="2CC57DC8" w:rsidR="00EF4FC8" w:rsidRPr="00EF4FC8" w:rsidRDefault="001C212B" w:rsidP="00EF4FC8">
            <w:pPr>
              <w:ind w:left="57"/>
              <w:rPr>
                <w:rFonts w:eastAsia="Times New Roman"/>
                <w:bCs/>
                <w:szCs w:val="24"/>
              </w:rPr>
            </w:pPr>
            <w:r>
              <w:rPr>
                <w:rFonts w:eastAsia="Times New Roman"/>
                <w:szCs w:val="24"/>
              </w:rPr>
              <w:t>“</w:t>
            </w:r>
            <w:r w:rsidR="00EF4FC8" w:rsidRPr="00EF4FC8">
              <w:rPr>
                <w:rFonts w:eastAsia="Times New Roman"/>
                <w:szCs w:val="24"/>
              </w:rPr>
              <w:t>Dzelzceļa</w:t>
            </w:r>
            <w:r w:rsidR="00EF4FC8" w:rsidRPr="00EF4FC8">
              <w:rPr>
                <w:rFonts w:eastAsia="Times New Roman"/>
                <w:bCs/>
                <w:szCs w:val="24"/>
              </w:rPr>
              <w:t xml:space="preserve"> signalizācijas sistēmas speciālistam jābūt: </w:t>
            </w:r>
          </w:p>
          <w:p w14:paraId="60E868CA" w14:textId="77777777" w:rsidR="00EF4FC8" w:rsidRPr="00EF4FC8" w:rsidRDefault="00EF4FC8" w:rsidP="00EF4FC8">
            <w:pPr>
              <w:numPr>
                <w:ilvl w:val="0"/>
                <w:numId w:val="9"/>
              </w:numPr>
              <w:ind w:left="57" w:firstLine="0"/>
              <w:contextualSpacing/>
              <w:rPr>
                <w:rFonts w:eastAsia="Times New Roman"/>
                <w:szCs w:val="24"/>
              </w:rPr>
            </w:pPr>
            <w:r w:rsidRPr="00EF4FC8">
              <w:rPr>
                <w:rFonts w:eastAsia="Times New Roman"/>
                <w:szCs w:val="24"/>
              </w:rPr>
              <w:t>ar augstāko izglītību;</w:t>
            </w:r>
          </w:p>
          <w:p w14:paraId="4F08EE0A" w14:textId="6D7DEA32" w:rsidR="00EF4FC8" w:rsidRPr="00EF4FC8" w:rsidRDefault="00EF4FC8" w:rsidP="00EF4FC8">
            <w:pPr>
              <w:numPr>
                <w:ilvl w:val="0"/>
                <w:numId w:val="9"/>
              </w:numPr>
              <w:ind w:left="57" w:firstLine="0"/>
              <w:contextualSpacing/>
              <w:rPr>
                <w:rFonts w:eastAsia="Times New Roman"/>
                <w:szCs w:val="24"/>
              </w:rPr>
            </w:pPr>
            <w:r w:rsidRPr="00EF4FC8">
              <w:rPr>
                <w:rFonts w:eastAsia="Times New Roman"/>
                <w:szCs w:val="24"/>
              </w:rPr>
              <w:t>vismaz vienā dzelzceļa infrastruktūras objektā, kas nodots ekspluatācijā pēdējo  piecu gadu laikā, veikušam mikroprocesoru centralizācijas vilcienu kustības vadības sistēmas projektēšanas un   ieviešanas uzraudzību, t.i., pārbaudījis, izvērtējis un saskaņojis/apstiprinājis izstrādātās sistēmas projektēšanas dokumentāciju un sistēmas atbilstību ievērojot šādus galvenos signalizācijas sistēmas tehniskos standartus (</w:t>
            </w:r>
            <w:r w:rsidRPr="00EF4FC8">
              <w:rPr>
                <w:rFonts w:eastAsia="Times New Roman"/>
                <w:i/>
                <w:szCs w:val="24"/>
              </w:rPr>
              <w:t xml:space="preserve">CENELEC - </w:t>
            </w:r>
            <w:proofErr w:type="spellStart"/>
            <w:r w:rsidRPr="00EF4FC8">
              <w:rPr>
                <w:rFonts w:eastAsia="Times New Roman"/>
                <w:i/>
                <w:szCs w:val="24"/>
              </w:rPr>
              <w:t>European</w:t>
            </w:r>
            <w:proofErr w:type="spellEnd"/>
            <w:r w:rsidRPr="00EF4FC8">
              <w:rPr>
                <w:rFonts w:eastAsia="Times New Roman"/>
                <w:i/>
                <w:szCs w:val="24"/>
              </w:rPr>
              <w:t xml:space="preserve"> </w:t>
            </w:r>
            <w:proofErr w:type="spellStart"/>
            <w:r w:rsidRPr="00EF4FC8">
              <w:rPr>
                <w:rFonts w:eastAsia="Times New Roman"/>
                <w:i/>
                <w:szCs w:val="24"/>
              </w:rPr>
              <w:t>Committee</w:t>
            </w:r>
            <w:proofErr w:type="spellEnd"/>
            <w:r w:rsidRPr="00EF4FC8">
              <w:rPr>
                <w:rFonts w:eastAsia="Times New Roman"/>
                <w:i/>
                <w:szCs w:val="24"/>
              </w:rPr>
              <w:t xml:space="preserve"> </w:t>
            </w:r>
            <w:proofErr w:type="spellStart"/>
            <w:r w:rsidRPr="00EF4FC8">
              <w:rPr>
                <w:rFonts w:eastAsia="Times New Roman"/>
                <w:i/>
                <w:szCs w:val="24"/>
              </w:rPr>
              <w:t>for</w:t>
            </w:r>
            <w:proofErr w:type="spellEnd"/>
            <w:r w:rsidRPr="00EF4FC8">
              <w:rPr>
                <w:rFonts w:eastAsia="Times New Roman"/>
                <w:i/>
                <w:szCs w:val="24"/>
              </w:rPr>
              <w:t xml:space="preserve"> Electrotechnical </w:t>
            </w:r>
            <w:proofErr w:type="spellStart"/>
            <w:r w:rsidRPr="00EF4FC8">
              <w:rPr>
                <w:rFonts w:eastAsia="Times New Roman"/>
                <w:i/>
                <w:szCs w:val="24"/>
              </w:rPr>
              <w:t>Standardization</w:t>
            </w:r>
            <w:bookmarkStart w:id="4" w:name="_Ref476563120"/>
            <w:proofErr w:type="spellEnd"/>
            <w:r w:rsidRPr="00EF4FC8">
              <w:rPr>
                <w:rFonts w:eastAsia="Times New Roman"/>
                <w:szCs w:val="24"/>
              </w:rPr>
              <w:t>)</w:t>
            </w:r>
            <w:bookmarkEnd w:id="4"/>
            <w:r w:rsidRPr="00EF4FC8">
              <w:rPr>
                <w:rFonts w:eastAsia="Times New Roman"/>
                <w:szCs w:val="24"/>
              </w:rPr>
              <w:t>: EN 50126; EN 50128; un EN 50129 vai līdzvērtīgus (ekvivalentus) standartus, kur MPC sistēmā ir ieslēgtas ne mazāk par 30 pārmiju pārvedām</w:t>
            </w:r>
            <w:r w:rsidR="001C212B">
              <w:rPr>
                <w:rFonts w:eastAsia="Times New Roman"/>
                <w:szCs w:val="24"/>
              </w:rPr>
              <w:t>”</w:t>
            </w:r>
            <w:r w:rsidRPr="00EF4FC8">
              <w:rPr>
                <w:rFonts w:eastAsia="Times New Roman"/>
                <w:szCs w:val="24"/>
              </w:rPr>
              <w:t>.</w:t>
            </w:r>
          </w:p>
        </w:tc>
      </w:tr>
      <w:tr w:rsidR="00EF4FC8" w:rsidRPr="00EF4FC8" w14:paraId="6BCBCBF9" w14:textId="77777777" w:rsidTr="00971F10">
        <w:trPr>
          <w:jc w:val="center"/>
        </w:trPr>
        <w:tc>
          <w:tcPr>
            <w:tcW w:w="1762" w:type="dxa"/>
          </w:tcPr>
          <w:p w14:paraId="6EA3DE81" w14:textId="77777777" w:rsidR="00EF4FC8" w:rsidRPr="00EF4FC8" w:rsidRDefault="00EF4FC8" w:rsidP="00AB5C20">
            <w:pPr>
              <w:rPr>
                <w:rFonts w:eastAsia="Times New Roman"/>
                <w:bCs/>
                <w:szCs w:val="24"/>
              </w:rPr>
            </w:pPr>
            <w:r w:rsidRPr="00EF4FC8">
              <w:rPr>
                <w:rFonts w:eastAsia="Times New Roman"/>
                <w:bCs/>
                <w:szCs w:val="24"/>
              </w:rPr>
              <w:t>Nolikuma 3.pielikuma 6.2.2.p.</w:t>
            </w:r>
          </w:p>
          <w:p w14:paraId="4A15D1AE" w14:textId="49074937" w:rsidR="00EF4FC8" w:rsidRPr="00EF4FC8" w:rsidRDefault="00EF4FC8" w:rsidP="000E624B">
            <w:pPr>
              <w:rPr>
                <w:szCs w:val="24"/>
              </w:rPr>
            </w:pPr>
          </w:p>
        </w:tc>
        <w:tc>
          <w:tcPr>
            <w:tcW w:w="4754" w:type="dxa"/>
          </w:tcPr>
          <w:p w14:paraId="707FA942" w14:textId="77777777" w:rsidR="00EF4FC8" w:rsidRPr="00EF4FC8" w:rsidRDefault="00EF4FC8" w:rsidP="004D1667">
            <w:pPr>
              <w:rPr>
                <w:rFonts w:eastAsia="Times New Roman"/>
                <w:i/>
                <w:szCs w:val="24"/>
              </w:rPr>
            </w:pPr>
            <w:r w:rsidRPr="00EF4FC8">
              <w:rPr>
                <w:rFonts w:eastAsia="Times New Roman"/>
                <w:i/>
                <w:szCs w:val="24"/>
              </w:rPr>
              <w:t>Ārvalstu uzņēmējiem, viņu būvuzraugiem un izpildītājiem ir jābūt Inženiera valsts izsniegtai licencei, sertifikātam vai citam līdzvērtīgam dokumentam, kas apliecina tiesības veikt darba pienākumus. Inženierim līdz līgumā noteiktajam darbu uzsākšanas datumam Inženiera būvuzraugiem ir jāiegūst profesionālās kvalifikācijas atzīšanas apliecība Latvijas Republikā un jāiegūst visi nepieciešamie sertifikāti.</w:t>
            </w:r>
          </w:p>
        </w:tc>
        <w:tc>
          <w:tcPr>
            <w:tcW w:w="6379" w:type="dxa"/>
          </w:tcPr>
          <w:p w14:paraId="699DF4F8" w14:textId="69621A3C" w:rsidR="00EF4FC8" w:rsidRPr="00EF4FC8" w:rsidRDefault="00307B5E" w:rsidP="00525211">
            <w:pPr>
              <w:keepNext/>
              <w:spacing w:after="120"/>
              <w:outlineLvl w:val="0"/>
              <w:rPr>
                <w:szCs w:val="24"/>
              </w:rPr>
            </w:pPr>
            <w:r w:rsidRPr="00EF4FC8" w:rsidDel="00307B5E">
              <w:rPr>
                <w:szCs w:val="24"/>
              </w:rPr>
              <w:t xml:space="preserve"> </w:t>
            </w:r>
            <w:bookmarkStart w:id="5" w:name="_Toc476911043"/>
            <w:r w:rsidR="00EF4FC8">
              <w:rPr>
                <w:rFonts w:eastAsia="Times New Roman"/>
                <w:bCs/>
                <w:szCs w:val="24"/>
              </w:rPr>
              <w:t>“</w:t>
            </w:r>
            <w:r w:rsidR="00EF4FC8" w:rsidRPr="00EF4FC8">
              <w:rPr>
                <w:rFonts w:eastAsia="Times New Roman"/>
                <w:bCs/>
                <w:szCs w:val="24"/>
              </w:rPr>
              <w:t>Ārvalstu</w:t>
            </w:r>
            <w:r w:rsidR="00EF4FC8" w:rsidRPr="00EF4FC8">
              <w:rPr>
                <w:rFonts w:eastAsia="Times New Roman"/>
                <w:szCs w:val="24"/>
              </w:rPr>
              <w:t xml:space="preserve"> uzņēmējiem, viņu būvuzraugiem un izpildītājiem ir jābūt Inženiera valsts izsniegtai licencei, sertifikātam vai citiem līdzvērtīgam profesionālās kvalifikācijas apliecinošiem dokumentiem atbilstoši attiecīgā speciālista valsts izvirzītajām prasībām, kas apliecina tiesības veikt darba pienākumus. Pēc līguma noslēgšanas Inženieris </w:t>
            </w:r>
            <w:bookmarkEnd w:id="5"/>
            <w:r w:rsidR="00EF4FC8" w:rsidRPr="00EF4FC8">
              <w:rPr>
                <w:rFonts w:eastAsia="Times New Roman"/>
                <w:bCs/>
                <w:szCs w:val="24"/>
              </w:rPr>
              <w:t xml:space="preserve">5 darbdienu laikā no iepirkuma līguma noslēgšanas normatīvajos aktos (t.sk. ņemot vērā Ministru kabineta 2017.gada 28.marta noteikumus Nr.168 „Īslaicīgu profesionālo pakalpojumu sniegšanas kārtība Latvijas Republikā reglamentētā profesijā”)  noteiktajā kārtībā iesniegs atzīšanas institūcijai deklarāciju par īslaicīgu profesionālo </w:t>
            </w:r>
            <w:r w:rsidR="00EF4FC8" w:rsidRPr="00EF4FC8">
              <w:rPr>
                <w:rFonts w:eastAsia="Times New Roman"/>
                <w:bCs/>
                <w:szCs w:val="24"/>
              </w:rPr>
              <w:lastRenderedPageBreak/>
              <w:t>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r w:rsidR="00EF4FC8">
              <w:rPr>
                <w:rFonts w:eastAsia="Times New Roman"/>
                <w:bCs/>
                <w:szCs w:val="24"/>
              </w:rPr>
              <w:t>”</w:t>
            </w:r>
            <w:r w:rsidR="00EF4FC8" w:rsidRPr="00EF4FC8">
              <w:rPr>
                <w:rFonts w:eastAsia="Times New Roman"/>
                <w:bCs/>
                <w:szCs w:val="24"/>
              </w:rPr>
              <w:t>.</w:t>
            </w:r>
          </w:p>
        </w:tc>
      </w:tr>
      <w:tr w:rsidR="00EF4FC8" w:rsidRPr="00EF4FC8" w14:paraId="6E3727F8" w14:textId="77777777" w:rsidTr="00971F10">
        <w:trPr>
          <w:jc w:val="center"/>
        </w:trPr>
        <w:tc>
          <w:tcPr>
            <w:tcW w:w="1762" w:type="dxa"/>
          </w:tcPr>
          <w:p w14:paraId="21573397" w14:textId="50851D8D" w:rsidR="00EF4FC8" w:rsidRPr="00EF4FC8" w:rsidRDefault="00EF4FC8" w:rsidP="00AB5C20">
            <w:pPr>
              <w:rPr>
                <w:rFonts w:eastAsia="Times New Roman"/>
                <w:bCs/>
                <w:szCs w:val="24"/>
              </w:rPr>
            </w:pPr>
            <w:r w:rsidRPr="00EF4FC8">
              <w:rPr>
                <w:rFonts w:eastAsia="Times New Roman"/>
                <w:bCs/>
                <w:szCs w:val="24"/>
              </w:rPr>
              <w:lastRenderedPageBreak/>
              <w:t xml:space="preserve"> Nolikuma 1.7.5.p.</w:t>
            </w:r>
          </w:p>
          <w:p w14:paraId="44104141" w14:textId="77777777" w:rsidR="00EF4FC8" w:rsidRPr="00EF4FC8" w:rsidRDefault="00EF4FC8" w:rsidP="000E624B">
            <w:pPr>
              <w:rPr>
                <w:szCs w:val="24"/>
              </w:rPr>
            </w:pPr>
          </w:p>
        </w:tc>
        <w:tc>
          <w:tcPr>
            <w:tcW w:w="4754" w:type="dxa"/>
          </w:tcPr>
          <w:p w14:paraId="3A74CF39" w14:textId="77777777" w:rsidR="00EF4FC8" w:rsidRPr="00EF4FC8" w:rsidRDefault="00EF4FC8" w:rsidP="00795F38">
            <w:pPr>
              <w:rPr>
                <w:rFonts w:eastAsia="Times New Roman"/>
                <w:bCs/>
                <w:i/>
                <w:szCs w:val="24"/>
              </w:rPr>
            </w:pPr>
            <w:r w:rsidRPr="00EF4FC8">
              <w:rPr>
                <w:rFonts w:eastAsia="Times New Roman"/>
                <w:bCs/>
                <w:i/>
                <w:szCs w:val="24"/>
              </w:rPr>
              <w:t xml:space="preserve">piedāvājuma un tam pievienoto dokumentu izstrādāšanā un noformēšanā ievēro Ministru kabineta 2010.gada 28.septembra noteikumu Nr.916 „Dokumentu izstrādāšanas un noformēšanas kārtība” prasības (attiecībā uz dokumentu parakstīšanu, atvasinājumu, tulkojumu noformēšanu, apliecināšanu u.tml.). </w:t>
            </w:r>
          </w:p>
          <w:p w14:paraId="2F042D2B" w14:textId="679CB7CA" w:rsidR="00EF4FC8" w:rsidRPr="00EF4FC8" w:rsidRDefault="00EF4FC8" w:rsidP="00EF4FC8">
            <w:pPr>
              <w:rPr>
                <w:rFonts w:eastAsia="Times New Roman"/>
                <w:bCs/>
                <w:i/>
                <w:szCs w:val="24"/>
              </w:rPr>
            </w:pPr>
            <w:r w:rsidRPr="00EF4FC8">
              <w:rPr>
                <w:rFonts w:eastAsia="Times New Roman"/>
                <w:bCs/>
                <w:i/>
                <w:szCs w:val="24"/>
              </w:rPr>
              <w:t>Ārvalsts ieinteresētais piegādātājs piedāvājuma noformēšanā ievēro tā reģistrācijas valsts normatīvos aktus, kas reglamentē dokumentu vispārīgās noformēšanas prasības, kas vistuvāk atbilst Latvijas attiecīgajam normatīvajam dokumentam.</w:t>
            </w:r>
          </w:p>
        </w:tc>
        <w:tc>
          <w:tcPr>
            <w:tcW w:w="6379" w:type="dxa"/>
          </w:tcPr>
          <w:p w14:paraId="440ACB4C" w14:textId="4E4068A9" w:rsidR="00EF4FC8" w:rsidRPr="00EF4FC8" w:rsidRDefault="00EF4FC8">
            <w:pPr>
              <w:rPr>
                <w:szCs w:val="24"/>
              </w:rPr>
            </w:pPr>
            <w:r w:rsidRPr="00EF4FC8">
              <w:rPr>
                <w:szCs w:val="24"/>
              </w:rPr>
              <w:t xml:space="preserve"> </w:t>
            </w:r>
            <w:r>
              <w:rPr>
                <w:szCs w:val="24"/>
              </w:rPr>
              <w:t>“</w:t>
            </w:r>
            <w:r w:rsidRPr="00EF4FC8">
              <w:rPr>
                <w:szCs w:val="24"/>
              </w:rPr>
              <w:t>piedāvājuma un tam pievienoto dokumentu izstrādāšanā un noformēšanā ievēro Ministru kabineta 2010.gada 28.septembra noteikumu Nr.916 „Dokumentu izstrādāšanas un noformēšanas kārtība” prasības (attiecībā uz dokumentu parakstīšanu, atvasinājumu, tulkojumu noformēšanu, apliecināšanu u.tml.)</w:t>
            </w:r>
            <w:r>
              <w:rPr>
                <w:szCs w:val="24"/>
              </w:rPr>
              <w:t>”</w:t>
            </w:r>
            <w:r w:rsidRPr="00EF4FC8">
              <w:rPr>
                <w:szCs w:val="24"/>
              </w:rPr>
              <w:t>.</w:t>
            </w:r>
          </w:p>
          <w:p w14:paraId="658303D6" w14:textId="4763C4EB" w:rsidR="00EF4FC8" w:rsidRPr="00EF4FC8" w:rsidRDefault="00EF4FC8">
            <w:pPr>
              <w:rPr>
                <w:szCs w:val="24"/>
              </w:rPr>
            </w:pPr>
          </w:p>
        </w:tc>
      </w:tr>
      <w:tr w:rsidR="00EF4FC8" w:rsidRPr="00EF4FC8" w14:paraId="5A4C81FC" w14:textId="77777777" w:rsidTr="00971F10">
        <w:trPr>
          <w:jc w:val="center"/>
        </w:trPr>
        <w:tc>
          <w:tcPr>
            <w:tcW w:w="1762" w:type="dxa"/>
          </w:tcPr>
          <w:p w14:paraId="5D31B3B0" w14:textId="77777777" w:rsidR="00EF4FC8" w:rsidRPr="00EF4FC8" w:rsidRDefault="00EF4FC8" w:rsidP="00AB5C20">
            <w:pPr>
              <w:rPr>
                <w:rFonts w:eastAsia="Times New Roman"/>
                <w:bCs/>
                <w:szCs w:val="24"/>
              </w:rPr>
            </w:pPr>
            <w:r w:rsidRPr="00EF4FC8">
              <w:rPr>
                <w:rFonts w:eastAsia="Times New Roman"/>
                <w:bCs/>
                <w:szCs w:val="24"/>
              </w:rPr>
              <w:t>Nolikuma 6.4.p.</w:t>
            </w:r>
          </w:p>
          <w:p w14:paraId="36703BF5" w14:textId="6FB96EB2" w:rsidR="00EF4FC8" w:rsidRPr="00EF4FC8" w:rsidRDefault="00EF4FC8" w:rsidP="000E624B">
            <w:pPr>
              <w:rPr>
                <w:szCs w:val="24"/>
              </w:rPr>
            </w:pPr>
          </w:p>
        </w:tc>
        <w:tc>
          <w:tcPr>
            <w:tcW w:w="4754" w:type="dxa"/>
          </w:tcPr>
          <w:p w14:paraId="73EE8DA6" w14:textId="77777777" w:rsidR="00EF4FC8" w:rsidRPr="00EF4FC8" w:rsidRDefault="00EF4FC8" w:rsidP="00AB5C20">
            <w:pPr>
              <w:rPr>
                <w:rFonts w:eastAsia="Times New Roman"/>
                <w:i/>
                <w:szCs w:val="24"/>
              </w:rPr>
            </w:pPr>
            <w:r w:rsidRPr="00EF4FC8">
              <w:rPr>
                <w:rFonts w:eastAsia="Times New Roman"/>
                <w:i/>
                <w:szCs w:val="24"/>
              </w:rPr>
              <w:t>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Ja pieņemts lēmums slēgt līgumu ar nākamo pretendentu, kurš piedāvājis viszemāko cenu, bet tas atsakās līgumu slēgt, pasūtītājs pieņem lēmumu pārtraukt konkursu, neizvēloties nevienu piedāvājumu.</w:t>
            </w:r>
          </w:p>
          <w:p w14:paraId="21BD19E2" w14:textId="77777777" w:rsidR="00EF4FC8" w:rsidRPr="00EF4FC8" w:rsidRDefault="00EF4FC8" w:rsidP="00942138">
            <w:pPr>
              <w:rPr>
                <w:rFonts w:eastAsia="Times New Roman"/>
                <w:bCs/>
                <w:i/>
                <w:szCs w:val="24"/>
              </w:rPr>
            </w:pPr>
          </w:p>
        </w:tc>
        <w:tc>
          <w:tcPr>
            <w:tcW w:w="6379" w:type="dxa"/>
          </w:tcPr>
          <w:p w14:paraId="10E2726D" w14:textId="17FBF8C2" w:rsidR="00EF4FC8" w:rsidRPr="00EF4FC8" w:rsidRDefault="00EF4FC8" w:rsidP="00EF4FC8">
            <w:pPr>
              <w:rPr>
                <w:szCs w:val="24"/>
              </w:rPr>
            </w:pPr>
            <w:r w:rsidRPr="00EF4FC8">
              <w:rPr>
                <w:szCs w:val="24"/>
              </w:rPr>
              <w:t xml:space="preserve"> “</w:t>
            </w:r>
            <w:r w:rsidRPr="00EF4FC8">
              <w:rPr>
                <w:rFonts w:eastAsia="Times New Roman"/>
                <w:szCs w:val="24"/>
              </w:rPr>
              <w:t>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A</w:t>
            </w:r>
            <w:r w:rsidRPr="00EF4FC8">
              <w:rPr>
                <w:rFonts w:eastAsia="Times New Roman"/>
                <w:bCs/>
                <w:szCs w:val="24"/>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w:t>
            </w:r>
            <w:r w:rsidRPr="00EF4FC8">
              <w:rPr>
                <w:rFonts w:eastAsia="Times New Roman"/>
                <w:bCs/>
                <w:szCs w:val="24"/>
              </w:rPr>
              <w:lastRenderedPageBreak/>
              <w:t xml:space="preserve">neizvēloties nevienu piedāvājumu. </w:t>
            </w:r>
            <w:r w:rsidRPr="00EF4FC8">
              <w:rPr>
                <w:rFonts w:eastAsia="Times New Roman"/>
                <w:szCs w:val="24"/>
              </w:rPr>
              <w:t>Ja pieņemts lēmums slēgt līgumu ar nākamo pretendentu, kurš piedāvājis viszemāko cenu, bet tas atsakās līgumu slēgt, pasūtītājs pieņem lēmumu pārtraukt konkursu, neizvēloties nevienu piedāvājumu”.</w:t>
            </w:r>
          </w:p>
        </w:tc>
      </w:tr>
      <w:tr w:rsidR="00EF4FC8" w:rsidRPr="00EF4FC8" w14:paraId="43DB8966" w14:textId="77777777" w:rsidTr="00971F10">
        <w:trPr>
          <w:jc w:val="center"/>
        </w:trPr>
        <w:tc>
          <w:tcPr>
            <w:tcW w:w="1762" w:type="dxa"/>
          </w:tcPr>
          <w:p w14:paraId="64480493" w14:textId="099F38D2" w:rsidR="00EF4FC8" w:rsidRPr="00EF4FC8" w:rsidRDefault="00EF4FC8" w:rsidP="00AB5C20">
            <w:pPr>
              <w:rPr>
                <w:rFonts w:eastAsia="Times New Roman"/>
                <w:bCs/>
                <w:szCs w:val="24"/>
              </w:rPr>
            </w:pPr>
            <w:r w:rsidRPr="00EF4FC8">
              <w:rPr>
                <w:szCs w:val="24"/>
              </w:rPr>
              <w:lastRenderedPageBreak/>
              <w:t>Nolikuma 2.pielikuma 1.veidlapa</w:t>
            </w:r>
          </w:p>
        </w:tc>
        <w:tc>
          <w:tcPr>
            <w:tcW w:w="4754" w:type="dxa"/>
          </w:tcPr>
          <w:p w14:paraId="39E469A0" w14:textId="3C539958" w:rsidR="00EF4FC8" w:rsidRPr="00EF4FC8" w:rsidRDefault="00EF4FC8" w:rsidP="00AB5C20">
            <w:pPr>
              <w:rPr>
                <w:rFonts w:eastAsia="Times New Roman"/>
                <w:szCs w:val="24"/>
              </w:rPr>
            </w:pPr>
            <w:r w:rsidRPr="00EF4FC8">
              <w:rPr>
                <w:rFonts w:eastAsia="Times New Roman"/>
                <w:szCs w:val="24"/>
              </w:rPr>
              <w:t>Pieteikums</w:t>
            </w:r>
          </w:p>
        </w:tc>
        <w:tc>
          <w:tcPr>
            <w:tcW w:w="6379" w:type="dxa"/>
          </w:tcPr>
          <w:p w14:paraId="5A8F3B1C" w14:textId="31BA3307" w:rsidR="00EF4FC8" w:rsidRPr="00EF4FC8" w:rsidRDefault="00307B5E" w:rsidP="00AB5C20">
            <w:pPr>
              <w:rPr>
                <w:szCs w:val="24"/>
              </w:rPr>
            </w:pPr>
            <w:r>
              <w:rPr>
                <w:szCs w:val="24"/>
              </w:rPr>
              <w:t>Papildināta ar punktu Nr./ punkts Nr.</w:t>
            </w:r>
            <w:r w:rsidRPr="00EF4FC8" w:rsidDel="00307B5E">
              <w:rPr>
                <w:szCs w:val="24"/>
              </w:rPr>
              <w:t xml:space="preserve"> </w:t>
            </w:r>
            <w:r w:rsidR="00EF4FC8" w:rsidRPr="00EF4FC8">
              <w:rPr>
                <w:szCs w:val="24"/>
              </w:rPr>
              <w:t>“apliecina, ka (Pretendenta nosaukums) nepiedalās nevienā citā Pretendenta piedāvājumā šajā iepirkumā un (Pretendenta nosaukums) nav uzskatāms par vienu tirgus dalībnieku kopā ar citiem  pretendentiem šajā iepirkumā”.</w:t>
            </w:r>
          </w:p>
        </w:tc>
      </w:tr>
      <w:tr w:rsidR="00EF4FC8" w:rsidRPr="00EF4FC8" w14:paraId="56903CB6" w14:textId="77777777" w:rsidTr="00971F10">
        <w:trPr>
          <w:jc w:val="center"/>
        </w:trPr>
        <w:tc>
          <w:tcPr>
            <w:tcW w:w="1762" w:type="dxa"/>
          </w:tcPr>
          <w:p w14:paraId="4DB65F82" w14:textId="77777777" w:rsidR="00EF4FC8" w:rsidRPr="00EF4FC8" w:rsidRDefault="00EF4FC8" w:rsidP="00AB5C20">
            <w:pPr>
              <w:rPr>
                <w:rFonts w:eastAsia="Times New Roman"/>
                <w:bCs/>
                <w:szCs w:val="24"/>
              </w:rPr>
            </w:pPr>
            <w:r w:rsidRPr="00EF4FC8">
              <w:rPr>
                <w:rFonts w:eastAsia="Times New Roman"/>
                <w:bCs/>
                <w:szCs w:val="24"/>
              </w:rPr>
              <w:t>Nolikuma 1.pielikuma 3.1.p.</w:t>
            </w:r>
          </w:p>
          <w:p w14:paraId="07DD22A6" w14:textId="7A008BD9" w:rsidR="00EF4FC8" w:rsidRPr="00EF4FC8" w:rsidRDefault="00EF4FC8" w:rsidP="000E624B">
            <w:pPr>
              <w:rPr>
                <w:szCs w:val="24"/>
              </w:rPr>
            </w:pPr>
          </w:p>
        </w:tc>
        <w:tc>
          <w:tcPr>
            <w:tcW w:w="4754" w:type="dxa"/>
          </w:tcPr>
          <w:p w14:paraId="58FAFC37" w14:textId="77777777" w:rsidR="00EF4FC8" w:rsidRPr="00EF4FC8" w:rsidRDefault="00EF4FC8" w:rsidP="00E73503">
            <w:pPr>
              <w:rPr>
                <w:rFonts w:eastAsia="Times New Roman"/>
                <w:bCs/>
                <w:i/>
                <w:szCs w:val="24"/>
              </w:rPr>
            </w:pPr>
            <w:r w:rsidRPr="00EF4FC8">
              <w:rPr>
                <w:rFonts w:eastAsia="Times New Roman"/>
                <w:bCs/>
                <w:i/>
                <w:szCs w:val="24"/>
              </w:rPr>
              <w:t>Pretendentu izslēgšanas noteikumi.</w:t>
            </w:r>
          </w:p>
          <w:p w14:paraId="2FAAA6E5" w14:textId="77777777" w:rsidR="00EF4FC8" w:rsidRPr="00EF4FC8" w:rsidRDefault="00EF4FC8" w:rsidP="00E73503">
            <w:pPr>
              <w:rPr>
                <w:rFonts w:eastAsia="Times New Roman"/>
                <w:bCs/>
                <w:i/>
                <w:szCs w:val="24"/>
              </w:rPr>
            </w:pPr>
            <w:r w:rsidRPr="00EF4FC8">
              <w:rPr>
                <w:rFonts w:eastAsia="Times New Roman"/>
                <w:bCs/>
                <w:i/>
                <w:szCs w:val="24"/>
              </w:rPr>
              <w:t>Pasūtītājs izslēdz pretendentu no turpmākās dalības konkursā, neizskata piedāvājumu, kā arī neslēdz iepirkuma līgumu ar pretendentu,  uz kuru attiecas jebkurš no šādiem gadījumiem:</w:t>
            </w:r>
          </w:p>
        </w:tc>
        <w:tc>
          <w:tcPr>
            <w:tcW w:w="6379" w:type="dxa"/>
          </w:tcPr>
          <w:p w14:paraId="11C08D96" w14:textId="128E6924" w:rsidR="00EF4FC8" w:rsidRPr="00EF4FC8" w:rsidRDefault="00EF4FC8" w:rsidP="00371E59">
            <w:pPr>
              <w:spacing w:after="120"/>
              <w:ind w:right="-18"/>
              <w:rPr>
                <w:szCs w:val="24"/>
              </w:rPr>
            </w:pPr>
            <w:r w:rsidRPr="00EF4FC8" w:rsidDel="00FA1706">
              <w:rPr>
                <w:color w:val="FF0000"/>
                <w:szCs w:val="24"/>
              </w:rPr>
              <w:t xml:space="preserve"> </w:t>
            </w:r>
            <w:r w:rsidRPr="00EF4FC8">
              <w:rPr>
                <w:szCs w:val="24"/>
              </w:rPr>
              <w:t>[I] Nolikuma 1.pielikums papildināts</w:t>
            </w:r>
            <w:r w:rsidR="001C212B">
              <w:rPr>
                <w:szCs w:val="24"/>
              </w:rPr>
              <w:t>:</w:t>
            </w:r>
            <w:r w:rsidRPr="00EF4FC8">
              <w:rPr>
                <w:szCs w:val="24"/>
              </w:rPr>
              <w:t xml:space="preserve"> </w:t>
            </w:r>
          </w:p>
          <w:p w14:paraId="284CB3C5" w14:textId="39FA1F10" w:rsidR="00EF4FC8" w:rsidRPr="00EF4FC8" w:rsidRDefault="00EF4FC8" w:rsidP="004F3794">
            <w:pPr>
              <w:autoSpaceDE w:val="0"/>
              <w:autoSpaceDN w:val="0"/>
              <w:adjustRightInd w:val="0"/>
              <w:rPr>
                <w:szCs w:val="24"/>
              </w:rPr>
            </w:pPr>
            <w:r w:rsidRPr="00EF4FC8" w:rsidDel="00537E64">
              <w:rPr>
                <w:szCs w:val="24"/>
              </w:rPr>
              <w:t xml:space="preserve"> </w:t>
            </w:r>
            <w:r w:rsidRPr="00EF4FC8">
              <w:rPr>
                <w:szCs w:val="24"/>
              </w:rPr>
              <w:t>3.1.8.p. “Ja pasūtītājs konstatēs, ka persona, uz kuras iespējām pretendents balstās, lai apliecinātu, ka tā kvalifikācija atbilst paziņojumā par līgumu vai iepirkuma procedūras dokumentos noteiktajām prasībām, atbilst SPSIL 42.panta pirmās daļas 1., 2., 3., 4. vai 5.punktā minētajam izslēgšanas gadījumam, tas pieprasīs, 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EF4FC8" w:rsidDel="00537E64">
              <w:rPr>
                <w:szCs w:val="24"/>
              </w:rPr>
              <w:t xml:space="preserve"> </w:t>
            </w:r>
          </w:p>
          <w:p w14:paraId="4B8670AB" w14:textId="77777777" w:rsidR="00EF4FC8" w:rsidRPr="00EF4FC8" w:rsidRDefault="00EF4FC8" w:rsidP="004F3794">
            <w:pPr>
              <w:autoSpaceDE w:val="0"/>
              <w:autoSpaceDN w:val="0"/>
              <w:adjustRightInd w:val="0"/>
              <w:rPr>
                <w:szCs w:val="24"/>
              </w:rPr>
            </w:pPr>
          </w:p>
          <w:p w14:paraId="0D0A1339" w14:textId="617180FB" w:rsidR="00EF4FC8" w:rsidRPr="00EF4FC8" w:rsidRDefault="00EF4FC8" w:rsidP="006F7468">
            <w:pPr>
              <w:autoSpaceDE w:val="0"/>
              <w:autoSpaceDN w:val="0"/>
              <w:adjustRightInd w:val="0"/>
              <w:rPr>
                <w:i/>
                <w:szCs w:val="24"/>
              </w:rPr>
            </w:pPr>
            <w:r w:rsidRPr="00EF4FC8">
              <w:rPr>
                <w:szCs w:val="24"/>
              </w:rPr>
              <w:t>3.1.9.p. “Ja tādi dokumenti, ar kuriem pretendents var apliecināt, ka uz viņu un personu, uz kuras iespējām pretendents balstās, lai apliecinātu, ka tā kvalifikācija atbilst paziņojumā par līgumu vai iepirkuma procedūras dokumentos noteiktajām prasībām</w:t>
            </w:r>
            <w:r w:rsidRPr="00EF4FC8" w:rsidDel="00D91F29">
              <w:rPr>
                <w:szCs w:val="24"/>
              </w:rPr>
              <w:t xml:space="preserve"> </w:t>
            </w:r>
            <w:r w:rsidRPr="00EF4FC8">
              <w:rPr>
                <w:szCs w:val="24"/>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EF4FC8" w:rsidDel="00D91F29">
              <w:rPr>
                <w:szCs w:val="24"/>
              </w:rPr>
              <w:t xml:space="preserve"> </w:t>
            </w:r>
            <w:r w:rsidRPr="00EF4FC8">
              <w:rPr>
                <w:szCs w:val="24"/>
              </w:rPr>
              <w:t xml:space="preserve">neattiecas SPSIL 42.panta pirmajā daļā norādītie apstākļi, šādus dokumentus var aizstāt ar zvērestu vai, ja zvēresta došanu </w:t>
            </w:r>
            <w:r w:rsidRPr="00EF4FC8">
              <w:rPr>
                <w:szCs w:val="24"/>
              </w:rPr>
              <w:lastRenderedPageBreak/>
              <w:t>attiecīgās valsts normatīvie akti neparedz, — ar paša pretendenta vai personas, uz kuras iespējām pretendents balstās, lai apliecinātu, ka tā kvalifikācija atbilst paziņojumā par līgumu vai iepirkuma procedūras dokumentos noteiktajām prasībām</w:t>
            </w:r>
            <w:r w:rsidRPr="00EF4FC8" w:rsidDel="00D91F29">
              <w:rPr>
                <w:szCs w:val="24"/>
              </w:rPr>
              <w:t xml:space="preserve"> </w:t>
            </w:r>
            <w:r w:rsidRPr="00EF4FC8">
              <w:rPr>
                <w:szCs w:val="24"/>
              </w:rPr>
              <w:t>apliecinājumu kompetentai izpildvaras vai tiesu varas iestādei, zvērinātam notāram vai kompetentai attiecīgās nozares organizācijai to reģistrācijas (pastāvīgās dzīvesvietas) valstī”.</w:t>
            </w:r>
          </w:p>
        </w:tc>
      </w:tr>
      <w:tr w:rsidR="00EF4FC8" w:rsidRPr="00EF4FC8" w14:paraId="46C0EE7B" w14:textId="77777777" w:rsidTr="00971F10">
        <w:trPr>
          <w:jc w:val="center"/>
        </w:trPr>
        <w:tc>
          <w:tcPr>
            <w:tcW w:w="1762" w:type="dxa"/>
          </w:tcPr>
          <w:p w14:paraId="2680676A" w14:textId="2B623401" w:rsidR="00EF4FC8" w:rsidRPr="00EF4FC8" w:rsidRDefault="00EF4FC8" w:rsidP="00AB5C20">
            <w:pPr>
              <w:rPr>
                <w:rFonts w:eastAsia="Times New Roman"/>
                <w:bCs/>
                <w:szCs w:val="24"/>
              </w:rPr>
            </w:pPr>
            <w:r w:rsidRPr="00EF4FC8">
              <w:rPr>
                <w:rFonts w:eastAsia="Times New Roman"/>
                <w:bCs/>
                <w:szCs w:val="24"/>
              </w:rPr>
              <w:lastRenderedPageBreak/>
              <w:t xml:space="preserve"> Nolikuma 3.pielikuma 6.3.p.</w:t>
            </w:r>
          </w:p>
          <w:p w14:paraId="7675E522" w14:textId="77777777" w:rsidR="00EF4FC8" w:rsidRPr="00EF4FC8" w:rsidRDefault="00EF4FC8" w:rsidP="000E624B">
            <w:pPr>
              <w:rPr>
                <w:szCs w:val="24"/>
              </w:rPr>
            </w:pPr>
          </w:p>
        </w:tc>
        <w:tc>
          <w:tcPr>
            <w:tcW w:w="4754" w:type="dxa"/>
          </w:tcPr>
          <w:p w14:paraId="09620D44" w14:textId="77777777" w:rsidR="00EF4FC8" w:rsidRPr="00EF4FC8" w:rsidRDefault="00EF4FC8" w:rsidP="00942138">
            <w:pPr>
              <w:rPr>
                <w:rFonts w:eastAsia="Times New Roman"/>
                <w:bCs/>
                <w:i/>
                <w:szCs w:val="24"/>
              </w:rPr>
            </w:pPr>
            <w:r w:rsidRPr="00EF4FC8">
              <w:rPr>
                <w:i/>
                <w:szCs w:val="24"/>
              </w:rPr>
              <w:t>Kopējam plānotajam Inženiera cilvēkdienu skaitam ir jābūt ne mazākam par 2300 dienām.</w:t>
            </w:r>
          </w:p>
        </w:tc>
        <w:tc>
          <w:tcPr>
            <w:tcW w:w="6379" w:type="dxa"/>
          </w:tcPr>
          <w:p w14:paraId="2597AC7D" w14:textId="3C4FAE42" w:rsidR="00EF4FC8" w:rsidRPr="00EF4FC8" w:rsidRDefault="00EF4FC8" w:rsidP="00371E59">
            <w:pPr>
              <w:spacing w:after="120"/>
              <w:ind w:right="-18"/>
              <w:rPr>
                <w:szCs w:val="24"/>
              </w:rPr>
            </w:pPr>
            <w:r w:rsidRPr="00EF4FC8">
              <w:rPr>
                <w:szCs w:val="24"/>
              </w:rPr>
              <w:t xml:space="preserve">Nolikuma 2.pielikuma 2.veidlapas tabula papildināta ar norādi:  </w:t>
            </w:r>
            <w:r w:rsidRPr="00EF4FC8">
              <w:rPr>
                <w:b/>
                <w:szCs w:val="24"/>
              </w:rPr>
              <w:t xml:space="preserve"> Kopējais cilvēkdienu skaits </w:t>
            </w:r>
            <w:r w:rsidRPr="00EF4FC8">
              <w:rPr>
                <w:i/>
                <w:szCs w:val="24"/>
                <w:u w:val="single"/>
              </w:rPr>
              <w:t>(skat. piezīmi nr.7)</w:t>
            </w:r>
            <w:r w:rsidRPr="00EF4FC8">
              <w:rPr>
                <w:b/>
                <w:szCs w:val="24"/>
              </w:rPr>
              <w:t xml:space="preserve"> un kopējā summa visam līguma periodam (bez PVN).</w:t>
            </w:r>
          </w:p>
        </w:tc>
      </w:tr>
      <w:tr w:rsidR="00EF4FC8" w:rsidRPr="00EF4FC8" w14:paraId="1FD0C05E" w14:textId="77777777" w:rsidTr="00971F10">
        <w:trPr>
          <w:jc w:val="center"/>
        </w:trPr>
        <w:tc>
          <w:tcPr>
            <w:tcW w:w="1762" w:type="dxa"/>
          </w:tcPr>
          <w:p w14:paraId="7289D1ED" w14:textId="5BC69A26" w:rsidR="00EF4FC8" w:rsidRPr="00EF4FC8" w:rsidRDefault="00EF4FC8" w:rsidP="000E624B">
            <w:pPr>
              <w:rPr>
                <w:szCs w:val="24"/>
              </w:rPr>
            </w:pPr>
            <w:r w:rsidRPr="00EF4FC8">
              <w:rPr>
                <w:rFonts w:eastAsia="Times New Roman"/>
                <w:bCs/>
                <w:szCs w:val="24"/>
              </w:rPr>
              <w:t>Nolikuma 2.pielikuma 5.veidlapa</w:t>
            </w:r>
          </w:p>
        </w:tc>
        <w:tc>
          <w:tcPr>
            <w:tcW w:w="4754" w:type="dxa"/>
          </w:tcPr>
          <w:p w14:paraId="2C476ADC" w14:textId="1BDF2CCE" w:rsidR="00EF4FC8" w:rsidRPr="00EF4FC8" w:rsidRDefault="00EF4FC8" w:rsidP="00942138">
            <w:pPr>
              <w:rPr>
                <w:rFonts w:eastAsia="Times New Roman"/>
                <w:bCs/>
                <w:i/>
                <w:szCs w:val="24"/>
              </w:rPr>
            </w:pPr>
          </w:p>
        </w:tc>
        <w:tc>
          <w:tcPr>
            <w:tcW w:w="6379" w:type="dxa"/>
          </w:tcPr>
          <w:p w14:paraId="41DB9430" w14:textId="132BA82A" w:rsidR="00EF4FC8" w:rsidRPr="00EF4FC8" w:rsidRDefault="00EF4FC8" w:rsidP="00EF4FC8">
            <w:pPr>
              <w:rPr>
                <w:szCs w:val="24"/>
              </w:rPr>
            </w:pPr>
            <w:r w:rsidRPr="00EF4FC8">
              <w:rPr>
                <w:szCs w:val="24"/>
              </w:rPr>
              <w:t>Nolikuma  2.pielikuma 5.veidlapa labota. (Skatīt nolikuma konsolidēto versiju)</w:t>
            </w:r>
          </w:p>
        </w:tc>
      </w:tr>
      <w:tr w:rsidR="00EF4FC8" w:rsidRPr="00EF4FC8" w14:paraId="784683BB" w14:textId="77777777" w:rsidTr="00971F10">
        <w:trPr>
          <w:jc w:val="center"/>
        </w:trPr>
        <w:tc>
          <w:tcPr>
            <w:tcW w:w="1762" w:type="dxa"/>
          </w:tcPr>
          <w:p w14:paraId="22D0A840" w14:textId="77777777" w:rsidR="00EF4FC8" w:rsidRPr="00EF4FC8" w:rsidRDefault="00EF4FC8" w:rsidP="00AB5C20">
            <w:pPr>
              <w:rPr>
                <w:rFonts w:eastAsia="Times New Roman"/>
                <w:b/>
                <w:bCs/>
                <w:color w:val="C00000"/>
                <w:szCs w:val="24"/>
              </w:rPr>
            </w:pPr>
            <w:r w:rsidRPr="00EF4FC8">
              <w:rPr>
                <w:rFonts w:eastAsia="Times New Roman"/>
                <w:bCs/>
                <w:szCs w:val="24"/>
              </w:rPr>
              <w:t xml:space="preserve">Nolikuma 3.pielikuma 4.1.punkta </w:t>
            </w:r>
            <w:r w:rsidRPr="00EF4FC8">
              <w:rPr>
                <w:rFonts w:eastAsia="Times New Roman"/>
                <w:b/>
                <w:bCs/>
                <w:szCs w:val="24"/>
              </w:rPr>
              <w:t>(8)</w:t>
            </w:r>
          </w:p>
          <w:p w14:paraId="2670A234" w14:textId="48F0B469" w:rsidR="00EF4FC8" w:rsidRPr="00EF4FC8" w:rsidRDefault="00EF4FC8" w:rsidP="000E624B">
            <w:pPr>
              <w:rPr>
                <w:szCs w:val="24"/>
              </w:rPr>
            </w:pPr>
          </w:p>
        </w:tc>
        <w:tc>
          <w:tcPr>
            <w:tcW w:w="4754" w:type="dxa"/>
          </w:tcPr>
          <w:p w14:paraId="326367A3" w14:textId="77777777" w:rsidR="00EF4FC8" w:rsidRPr="00EF4FC8" w:rsidRDefault="00EF4FC8" w:rsidP="00976D6B">
            <w:pPr>
              <w:spacing w:after="120"/>
              <w:jc w:val="left"/>
              <w:rPr>
                <w:rFonts w:eastAsia="Times New Roman"/>
                <w:i/>
                <w:szCs w:val="24"/>
              </w:rPr>
            </w:pPr>
            <w:r w:rsidRPr="00EF4FC8">
              <w:rPr>
                <w:rFonts w:eastAsia="Times New Roman"/>
                <w:i/>
                <w:szCs w:val="24"/>
              </w:rPr>
              <w:t xml:space="preserve">jāveic izmantojamo materiālu, iekārtu un programmatūras 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atbilstošiem sertifikātiem un garantijām; </w:t>
            </w:r>
          </w:p>
          <w:p w14:paraId="2A8BAE3C" w14:textId="77777777" w:rsidR="00EF4FC8" w:rsidRPr="00EF4FC8" w:rsidRDefault="00EF4FC8" w:rsidP="00976D6B">
            <w:pPr>
              <w:rPr>
                <w:rFonts w:eastAsia="Times New Roman"/>
                <w:bCs/>
                <w:i/>
                <w:szCs w:val="24"/>
              </w:rPr>
            </w:pPr>
          </w:p>
        </w:tc>
        <w:tc>
          <w:tcPr>
            <w:tcW w:w="6379" w:type="dxa"/>
          </w:tcPr>
          <w:p w14:paraId="7E96BFBC" w14:textId="632AA6EF" w:rsidR="00EF4FC8" w:rsidRPr="00EF4FC8" w:rsidRDefault="00EF4FC8" w:rsidP="00817707">
            <w:pPr>
              <w:rPr>
                <w:szCs w:val="24"/>
              </w:rPr>
            </w:pPr>
            <w:r w:rsidRPr="00EF4FC8">
              <w:rPr>
                <w:rFonts w:eastAsia="Times New Roman"/>
                <w:bCs/>
                <w:szCs w:val="24"/>
              </w:rPr>
              <w:t xml:space="preserve"> </w:t>
            </w:r>
            <w:r w:rsidRPr="00EF4FC8">
              <w:rPr>
                <w:rFonts w:eastAsia="Times New Roman"/>
                <w:b/>
                <w:bCs/>
                <w:szCs w:val="24"/>
              </w:rPr>
              <w:t xml:space="preserve">(8) </w:t>
            </w:r>
            <w:r w:rsidRPr="00EF4FC8">
              <w:rPr>
                <w:rFonts w:eastAsia="Times New Roman"/>
                <w:bCs/>
                <w:szCs w:val="24"/>
              </w:rPr>
              <w:t>apakšpunkts precizēts šādā redakcijā:</w:t>
            </w:r>
            <w:r w:rsidRPr="00EF4FC8">
              <w:rPr>
                <w:szCs w:val="24"/>
              </w:rPr>
              <w:t xml:space="preserve"> </w:t>
            </w:r>
            <w:r>
              <w:rPr>
                <w:szCs w:val="24"/>
              </w:rPr>
              <w:t>“</w:t>
            </w:r>
            <w:r w:rsidRPr="00EF4FC8">
              <w:rPr>
                <w:szCs w:val="24"/>
              </w:rPr>
              <w:t xml:space="preserve">jāveic </w:t>
            </w:r>
            <w:r w:rsidRPr="00EF4FC8">
              <w:rPr>
                <w:i/>
                <w:szCs w:val="24"/>
              </w:rPr>
              <w:t>galveno</w:t>
            </w:r>
            <w:r w:rsidRPr="00EF4FC8">
              <w:rPr>
                <w:szCs w:val="24"/>
              </w:rPr>
              <w:t xml:space="preserve"> izmantojamo materiālu, iekārtu un programmatūras </w:t>
            </w:r>
            <w:r w:rsidRPr="00EF4FC8">
              <w:rPr>
                <w:i/>
                <w:szCs w:val="24"/>
              </w:rPr>
              <w:t>izlases veida</w:t>
            </w:r>
            <w:r w:rsidRPr="00EF4FC8">
              <w:rPr>
                <w:szCs w:val="24"/>
              </w:rPr>
              <w:t xml:space="preserve"> 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atbilstošiem sertifikātiem un garantijām</w:t>
            </w:r>
            <w:r>
              <w:rPr>
                <w:szCs w:val="24"/>
              </w:rPr>
              <w:t>”</w:t>
            </w:r>
            <w:r w:rsidRPr="00EF4FC8">
              <w:rPr>
                <w:szCs w:val="24"/>
              </w:rPr>
              <w:t>;</w:t>
            </w:r>
            <w:r w:rsidRPr="00EF4FC8">
              <w:rPr>
                <w:rFonts w:eastAsia="Times New Roman"/>
                <w:bCs/>
                <w:szCs w:val="24"/>
              </w:rPr>
              <w:t xml:space="preserve"> </w:t>
            </w:r>
          </w:p>
        </w:tc>
      </w:tr>
      <w:tr w:rsidR="00EF4FC8" w:rsidRPr="00EF4FC8" w14:paraId="15C672FF" w14:textId="77777777" w:rsidTr="00971F10">
        <w:trPr>
          <w:jc w:val="center"/>
        </w:trPr>
        <w:tc>
          <w:tcPr>
            <w:tcW w:w="1762" w:type="dxa"/>
          </w:tcPr>
          <w:p w14:paraId="0A2B9626" w14:textId="77777777" w:rsidR="00EF4FC8" w:rsidRPr="00EF4FC8" w:rsidRDefault="00EF4FC8" w:rsidP="00AB5C20">
            <w:pPr>
              <w:spacing w:after="120"/>
              <w:rPr>
                <w:rFonts w:eastAsia="Times New Roman"/>
                <w:bCs/>
                <w:szCs w:val="24"/>
              </w:rPr>
            </w:pPr>
            <w:r w:rsidRPr="00EF4FC8">
              <w:rPr>
                <w:rFonts w:eastAsia="Times New Roman"/>
                <w:bCs/>
                <w:szCs w:val="24"/>
              </w:rPr>
              <w:t>Līgumprojekta 5.2.p.</w:t>
            </w:r>
          </w:p>
          <w:p w14:paraId="7DC7D206" w14:textId="484285D4" w:rsidR="00EF4FC8" w:rsidRPr="00EF4FC8" w:rsidRDefault="00EF4FC8" w:rsidP="000E624B">
            <w:pPr>
              <w:rPr>
                <w:szCs w:val="24"/>
              </w:rPr>
            </w:pPr>
          </w:p>
        </w:tc>
        <w:tc>
          <w:tcPr>
            <w:tcW w:w="4754" w:type="dxa"/>
          </w:tcPr>
          <w:p w14:paraId="754570D4" w14:textId="77777777" w:rsidR="00EF4FC8" w:rsidRPr="00EF4FC8" w:rsidRDefault="00EF4FC8" w:rsidP="00525211">
            <w:pPr>
              <w:spacing w:after="120"/>
              <w:rPr>
                <w:rFonts w:eastAsia="Times New Roman"/>
                <w:bCs/>
                <w:i/>
                <w:szCs w:val="24"/>
              </w:rPr>
            </w:pPr>
            <w:r w:rsidRPr="00EF4FC8">
              <w:rPr>
                <w:rFonts w:eastAsia="Times New Roman"/>
                <w:bCs/>
                <w:i/>
                <w:szCs w:val="24"/>
              </w:rPr>
              <w:t>Gadījumā, ja Pasūtītājs nav apmierināts ar veiktajiem Pakalpojumiem, viņš neapmaksās rēķinu un Izpildītājam jānovērš norādītās nepilnības.</w:t>
            </w:r>
          </w:p>
        </w:tc>
        <w:tc>
          <w:tcPr>
            <w:tcW w:w="6379" w:type="dxa"/>
          </w:tcPr>
          <w:p w14:paraId="6B64D183" w14:textId="68F1F9BA" w:rsidR="00EF4FC8" w:rsidRPr="00EF4FC8" w:rsidRDefault="00EF4FC8" w:rsidP="00EF4FC8">
            <w:pPr>
              <w:rPr>
                <w:szCs w:val="24"/>
              </w:rPr>
            </w:pPr>
            <w:r w:rsidRPr="00EF4FC8">
              <w:rPr>
                <w:bCs/>
                <w:szCs w:val="24"/>
              </w:rPr>
              <w:t>“Gadījumā, ja veiktie Pakalpojumi neatbilst līguma nosacījumiem, Pasūtītājs neapmaksās rēķinu un Izpildītājam jānovērš norādītās nepilnības”.</w:t>
            </w:r>
          </w:p>
        </w:tc>
      </w:tr>
      <w:tr w:rsidR="00EF4FC8" w:rsidRPr="00EF4FC8" w14:paraId="126AC2CE" w14:textId="77777777" w:rsidTr="00971F10">
        <w:trPr>
          <w:trHeight w:val="2868"/>
          <w:jc w:val="center"/>
        </w:trPr>
        <w:tc>
          <w:tcPr>
            <w:tcW w:w="1762" w:type="dxa"/>
          </w:tcPr>
          <w:p w14:paraId="55F95E76" w14:textId="77777777" w:rsidR="00EF4FC8" w:rsidRPr="00EF4FC8" w:rsidRDefault="00EF4FC8" w:rsidP="00AB5C20">
            <w:pPr>
              <w:spacing w:after="120"/>
              <w:rPr>
                <w:rFonts w:eastAsia="Times New Roman"/>
                <w:bCs/>
                <w:szCs w:val="24"/>
              </w:rPr>
            </w:pPr>
            <w:r w:rsidRPr="00EF4FC8">
              <w:rPr>
                <w:rFonts w:eastAsia="Times New Roman"/>
                <w:bCs/>
                <w:szCs w:val="24"/>
              </w:rPr>
              <w:lastRenderedPageBreak/>
              <w:t>Līgumprojekta 7.3.3.p.</w:t>
            </w:r>
          </w:p>
          <w:p w14:paraId="79366365" w14:textId="3EF4BBC1" w:rsidR="00EF4FC8" w:rsidRPr="00EF4FC8" w:rsidRDefault="00EF4FC8" w:rsidP="000E624B">
            <w:pPr>
              <w:rPr>
                <w:szCs w:val="24"/>
              </w:rPr>
            </w:pPr>
          </w:p>
        </w:tc>
        <w:tc>
          <w:tcPr>
            <w:tcW w:w="4754" w:type="dxa"/>
          </w:tcPr>
          <w:p w14:paraId="5055627D" w14:textId="77777777" w:rsidR="00EF4FC8" w:rsidRPr="00EF4FC8" w:rsidRDefault="00EF4FC8" w:rsidP="00525211">
            <w:pPr>
              <w:spacing w:after="120"/>
              <w:rPr>
                <w:rFonts w:eastAsia="Times New Roman"/>
                <w:bCs/>
                <w:i/>
                <w:szCs w:val="24"/>
              </w:rPr>
            </w:pPr>
            <w:r w:rsidRPr="00EF4FC8">
              <w:rPr>
                <w:rFonts w:eastAsia="Times New Roman"/>
                <w:bCs/>
                <w:i/>
                <w:szCs w:val="24"/>
              </w:rPr>
              <w:t>Noslēguma maksājums Inženierim tiks samaksāts 60 (sešdesmit) 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„Izpildīto darbu atskaite” un „Eksperta izpildīto darbu atskaite”.</w:t>
            </w:r>
          </w:p>
        </w:tc>
        <w:tc>
          <w:tcPr>
            <w:tcW w:w="6379" w:type="dxa"/>
          </w:tcPr>
          <w:p w14:paraId="17577D33" w14:textId="5B8D45FF" w:rsidR="00EF4FC8" w:rsidRPr="00EF4FC8" w:rsidRDefault="00EF4FC8" w:rsidP="00525211">
            <w:pPr>
              <w:rPr>
                <w:szCs w:val="24"/>
              </w:rPr>
            </w:pPr>
            <w:r w:rsidRPr="00EF4FC8">
              <w:rPr>
                <w:bCs/>
                <w:szCs w:val="24"/>
              </w:rPr>
              <w:t xml:space="preserve">“Noslēguma maksājums Inženierim tiks samaksāts 30 (trīsdesmit) 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w:t>
            </w:r>
            <w:r w:rsidRPr="00EF4FC8">
              <w:rPr>
                <w:szCs w:val="24"/>
              </w:rPr>
              <w:t>„Izpildīto darbu atskaite” un „Eksperta izpildīto darbu atskaite”</w:t>
            </w:r>
            <w:r w:rsidRPr="00EF4FC8">
              <w:rPr>
                <w:bCs/>
                <w:szCs w:val="24"/>
              </w:rPr>
              <w:t>.</w:t>
            </w:r>
          </w:p>
        </w:tc>
      </w:tr>
    </w:tbl>
    <w:p w14:paraId="259AF757" w14:textId="77777777" w:rsidR="00EF4FC8" w:rsidRDefault="00EF4FC8" w:rsidP="00EF4FC8">
      <w:pPr>
        <w:autoSpaceDE w:val="0"/>
        <w:autoSpaceDN w:val="0"/>
        <w:adjustRightInd w:val="0"/>
        <w:jc w:val="center"/>
        <w:rPr>
          <w:rFonts w:eastAsia="Times New Roman"/>
          <w:b/>
          <w:color w:val="000000"/>
          <w:szCs w:val="24"/>
          <w:lang w:eastAsia="lv-LV"/>
        </w:rPr>
      </w:pPr>
    </w:p>
    <w:sectPr w:rsidR="00EF4FC8" w:rsidSect="00EF4FC8">
      <w:foot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A2D37" w14:textId="77777777" w:rsidR="00D432D3" w:rsidRDefault="00D432D3" w:rsidP="00525211">
      <w:r>
        <w:separator/>
      </w:r>
    </w:p>
  </w:endnote>
  <w:endnote w:type="continuationSeparator" w:id="0">
    <w:p w14:paraId="6BD6AC40" w14:textId="77777777" w:rsidR="00D432D3" w:rsidRDefault="00D432D3" w:rsidP="005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45164"/>
      <w:docPartObj>
        <w:docPartGallery w:val="Page Numbers (Bottom of Page)"/>
        <w:docPartUnique/>
      </w:docPartObj>
    </w:sdtPr>
    <w:sdtEndPr>
      <w:rPr>
        <w:noProof/>
      </w:rPr>
    </w:sdtEndPr>
    <w:sdtContent>
      <w:p w14:paraId="3BFACDDF" w14:textId="0A2AAA78" w:rsidR="00525211" w:rsidRDefault="00525211">
        <w:pPr>
          <w:pStyle w:val="Footer"/>
          <w:jc w:val="right"/>
        </w:pPr>
        <w:r>
          <w:fldChar w:fldCharType="begin"/>
        </w:r>
        <w:r>
          <w:instrText xml:space="preserve"> PAGE   \* MERGEFORMAT </w:instrText>
        </w:r>
        <w:r>
          <w:fldChar w:fldCharType="separate"/>
        </w:r>
        <w:r w:rsidR="00635735">
          <w:rPr>
            <w:noProof/>
          </w:rPr>
          <w:t>8</w:t>
        </w:r>
        <w:r>
          <w:rPr>
            <w:noProof/>
          </w:rPr>
          <w:fldChar w:fldCharType="end"/>
        </w:r>
      </w:p>
    </w:sdtContent>
  </w:sdt>
  <w:p w14:paraId="7B9DF818" w14:textId="77777777" w:rsidR="00525211" w:rsidRDefault="00525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FA2FE" w14:textId="77777777" w:rsidR="00D432D3" w:rsidRDefault="00D432D3" w:rsidP="00525211">
      <w:r>
        <w:separator/>
      </w:r>
    </w:p>
  </w:footnote>
  <w:footnote w:type="continuationSeparator" w:id="0">
    <w:p w14:paraId="4CAE36AA" w14:textId="77777777" w:rsidR="00D432D3" w:rsidRDefault="00D432D3" w:rsidP="00525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A5B"/>
    <w:multiLevelType w:val="multilevel"/>
    <w:tmpl w:val="D2B28310"/>
    <w:lvl w:ilvl="0">
      <w:start w:val="1"/>
      <w:numFmt w:val="decimal"/>
      <w:lvlText w:val="%1."/>
      <w:lvlJc w:val="left"/>
      <w:pPr>
        <w:ind w:left="928"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C1411CF"/>
    <w:multiLevelType w:val="hybridMultilevel"/>
    <w:tmpl w:val="EDB26C5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15C54FB7"/>
    <w:multiLevelType w:val="hybridMultilevel"/>
    <w:tmpl w:val="8A16EB3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5"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7" w15:restartNumberingAfterBreak="0">
    <w:nsid w:val="38780F7F"/>
    <w:multiLevelType w:val="hybridMultilevel"/>
    <w:tmpl w:val="38825D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0" w15:restartNumberingAfterBreak="0">
    <w:nsid w:val="5B771B14"/>
    <w:multiLevelType w:val="multilevel"/>
    <w:tmpl w:val="E0F49B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8B7D6F"/>
    <w:multiLevelType w:val="hybridMultilevel"/>
    <w:tmpl w:val="4B6E3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BF2D96"/>
    <w:multiLevelType w:val="hybridMultilevel"/>
    <w:tmpl w:val="08087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num w:numId="1">
    <w:abstractNumId w:val="12"/>
  </w:num>
  <w:num w:numId="2">
    <w:abstractNumId w:val="11"/>
  </w:num>
  <w:num w:numId="3">
    <w:abstractNumId w:val="0"/>
  </w:num>
  <w:num w:numId="4">
    <w:abstractNumId w:val="9"/>
  </w:num>
  <w:num w:numId="5">
    <w:abstractNumId w:val="3"/>
  </w:num>
  <w:num w:numId="6">
    <w:abstractNumId w:val="8"/>
  </w:num>
  <w:num w:numId="7">
    <w:abstractNumId w:val="6"/>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4"/>
  </w:num>
  <w:num w:numId="12">
    <w:abstractNumId w:val="13"/>
  </w:num>
  <w:num w:numId="13">
    <w:abstractNumId w:val="2"/>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4B"/>
    <w:rsid w:val="000576BF"/>
    <w:rsid w:val="0006075F"/>
    <w:rsid w:val="0006525A"/>
    <w:rsid w:val="00074BC5"/>
    <w:rsid w:val="000C32E4"/>
    <w:rsid w:val="000D5676"/>
    <w:rsid w:val="000E624B"/>
    <w:rsid w:val="000F741F"/>
    <w:rsid w:val="00140491"/>
    <w:rsid w:val="00150F9E"/>
    <w:rsid w:val="00163A08"/>
    <w:rsid w:val="00166E79"/>
    <w:rsid w:val="0019298F"/>
    <w:rsid w:val="001A5EE2"/>
    <w:rsid w:val="001C212B"/>
    <w:rsid w:val="001F00D4"/>
    <w:rsid w:val="0020311B"/>
    <w:rsid w:val="002062E8"/>
    <w:rsid w:val="0022228D"/>
    <w:rsid w:val="00252307"/>
    <w:rsid w:val="002818E6"/>
    <w:rsid w:val="00294A67"/>
    <w:rsid w:val="002E0D11"/>
    <w:rsid w:val="00307B5E"/>
    <w:rsid w:val="00320F28"/>
    <w:rsid w:val="003378EF"/>
    <w:rsid w:val="003548EF"/>
    <w:rsid w:val="00371E59"/>
    <w:rsid w:val="003B4B3B"/>
    <w:rsid w:val="003D7E9A"/>
    <w:rsid w:val="003E3B73"/>
    <w:rsid w:val="004000B5"/>
    <w:rsid w:val="00415AC0"/>
    <w:rsid w:val="004727A0"/>
    <w:rsid w:val="00475B72"/>
    <w:rsid w:val="00496F5E"/>
    <w:rsid w:val="004B1B24"/>
    <w:rsid w:val="004D1667"/>
    <w:rsid w:val="004D5290"/>
    <w:rsid w:val="004F3794"/>
    <w:rsid w:val="00504294"/>
    <w:rsid w:val="00511E3B"/>
    <w:rsid w:val="005127DB"/>
    <w:rsid w:val="00516D84"/>
    <w:rsid w:val="00525211"/>
    <w:rsid w:val="005316DF"/>
    <w:rsid w:val="00537E64"/>
    <w:rsid w:val="005A69E7"/>
    <w:rsid w:val="005B39D2"/>
    <w:rsid w:val="00635735"/>
    <w:rsid w:val="00641A08"/>
    <w:rsid w:val="00642A50"/>
    <w:rsid w:val="006462C3"/>
    <w:rsid w:val="00677448"/>
    <w:rsid w:val="006831A0"/>
    <w:rsid w:val="006A3B00"/>
    <w:rsid w:val="006C31D6"/>
    <w:rsid w:val="006D3D41"/>
    <w:rsid w:val="006E26E0"/>
    <w:rsid w:val="006E6F82"/>
    <w:rsid w:val="006F7468"/>
    <w:rsid w:val="00715A3B"/>
    <w:rsid w:val="00743B05"/>
    <w:rsid w:val="00747CB7"/>
    <w:rsid w:val="00782991"/>
    <w:rsid w:val="00783860"/>
    <w:rsid w:val="00795F38"/>
    <w:rsid w:val="007D673F"/>
    <w:rsid w:val="007D7715"/>
    <w:rsid w:val="007D7CA7"/>
    <w:rsid w:val="00803373"/>
    <w:rsid w:val="008069FA"/>
    <w:rsid w:val="00817707"/>
    <w:rsid w:val="008427A7"/>
    <w:rsid w:val="00881347"/>
    <w:rsid w:val="00886A20"/>
    <w:rsid w:val="00892A84"/>
    <w:rsid w:val="008A2FAA"/>
    <w:rsid w:val="008C54AD"/>
    <w:rsid w:val="008E6719"/>
    <w:rsid w:val="008F4627"/>
    <w:rsid w:val="0090520D"/>
    <w:rsid w:val="009206DF"/>
    <w:rsid w:val="00942138"/>
    <w:rsid w:val="00942830"/>
    <w:rsid w:val="00971F10"/>
    <w:rsid w:val="00973680"/>
    <w:rsid w:val="00976D6B"/>
    <w:rsid w:val="009C09C2"/>
    <w:rsid w:val="009F37DE"/>
    <w:rsid w:val="00A12D53"/>
    <w:rsid w:val="00A226A5"/>
    <w:rsid w:val="00A32626"/>
    <w:rsid w:val="00A46408"/>
    <w:rsid w:val="00A96370"/>
    <w:rsid w:val="00AA50B8"/>
    <w:rsid w:val="00AB5C20"/>
    <w:rsid w:val="00AC05A5"/>
    <w:rsid w:val="00AC65D1"/>
    <w:rsid w:val="00AD4FE1"/>
    <w:rsid w:val="00B10546"/>
    <w:rsid w:val="00B1555A"/>
    <w:rsid w:val="00B25602"/>
    <w:rsid w:val="00B50CAA"/>
    <w:rsid w:val="00BA3390"/>
    <w:rsid w:val="00BA68B0"/>
    <w:rsid w:val="00BC240F"/>
    <w:rsid w:val="00BF1D68"/>
    <w:rsid w:val="00C00A60"/>
    <w:rsid w:val="00C151AA"/>
    <w:rsid w:val="00C208C5"/>
    <w:rsid w:val="00C77002"/>
    <w:rsid w:val="00C91679"/>
    <w:rsid w:val="00C9339B"/>
    <w:rsid w:val="00D42FAE"/>
    <w:rsid w:val="00D432D3"/>
    <w:rsid w:val="00D45B5B"/>
    <w:rsid w:val="00D51F04"/>
    <w:rsid w:val="00D82BE0"/>
    <w:rsid w:val="00D91F29"/>
    <w:rsid w:val="00DF6F3B"/>
    <w:rsid w:val="00E0176E"/>
    <w:rsid w:val="00E05722"/>
    <w:rsid w:val="00E36EE2"/>
    <w:rsid w:val="00E37C49"/>
    <w:rsid w:val="00E41D6E"/>
    <w:rsid w:val="00E6123B"/>
    <w:rsid w:val="00E63D3F"/>
    <w:rsid w:val="00E7337D"/>
    <w:rsid w:val="00E73503"/>
    <w:rsid w:val="00E766EE"/>
    <w:rsid w:val="00E91B7A"/>
    <w:rsid w:val="00EB33B2"/>
    <w:rsid w:val="00ED3D64"/>
    <w:rsid w:val="00EF4FC8"/>
    <w:rsid w:val="00F05861"/>
    <w:rsid w:val="00F15024"/>
    <w:rsid w:val="00F47204"/>
    <w:rsid w:val="00F56AAE"/>
    <w:rsid w:val="00F72938"/>
    <w:rsid w:val="00F729AE"/>
    <w:rsid w:val="00F73745"/>
    <w:rsid w:val="00F91F1B"/>
    <w:rsid w:val="00FA1706"/>
    <w:rsid w:val="00FA7C95"/>
    <w:rsid w:val="00FB0A1C"/>
    <w:rsid w:val="00FD021B"/>
    <w:rsid w:val="00FE3ADA"/>
    <w:rsid w:val="00FF23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450D"/>
  <w15:chartTrackingRefBased/>
  <w15:docId w15:val="{A2220083-7F25-4BB9-BA19-6527E83C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624B"/>
    <w:pPr>
      <w:ind w:left="720"/>
      <w:contextualSpacing/>
    </w:pPr>
  </w:style>
  <w:style w:type="paragraph" w:styleId="BalloonText">
    <w:name w:val="Balloon Text"/>
    <w:basedOn w:val="Normal"/>
    <w:link w:val="BalloonTextChar"/>
    <w:uiPriority w:val="99"/>
    <w:semiHidden/>
    <w:unhideWhenUsed/>
    <w:rsid w:val="00A32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26"/>
    <w:rPr>
      <w:rFonts w:ascii="Segoe UI" w:hAnsi="Segoe UI" w:cs="Segoe UI"/>
      <w:sz w:val="18"/>
      <w:szCs w:val="18"/>
    </w:rPr>
  </w:style>
  <w:style w:type="character" w:styleId="Hyperlink">
    <w:name w:val="Hyperlink"/>
    <w:basedOn w:val="DefaultParagraphFont"/>
    <w:uiPriority w:val="99"/>
    <w:unhideWhenUsed/>
    <w:rsid w:val="008E6719"/>
    <w:rPr>
      <w:color w:val="0563C1" w:themeColor="hyperlink"/>
      <w:u w:val="single"/>
    </w:rPr>
  </w:style>
  <w:style w:type="character" w:styleId="FollowedHyperlink">
    <w:name w:val="FollowedHyperlink"/>
    <w:basedOn w:val="DefaultParagraphFont"/>
    <w:uiPriority w:val="99"/>
    <w:semiHidden/>
    <w:unhideWhenUsed/>
    <w:rsid w:val="008E6719"/>
    <w:rPr>
      <w:color w:val="954F72" w:themeColor="followedHyperlink"/>
      <w:u w:val="single"/>
    </w:rPr>
  </w:style>
  <w:style w:type="character" w:customStyle="1" w:styleId="ListParagraphChar">
    <w:name w:val="List Paragraph Char"/>
    <w:link w:val="ListParagraph"/>
    <w:uiPriority w:val="34"/>
    <w:locked/>
    <w:rsid w:val="00D42FAE"/>
  </w:style>
  <w:style w:type="character" w:styleId="CommentReference">
    <w:name w:val="annotation reference"/>
    <w:basedOn w:val="DefaultParagraphFont"/>
    <w:uiPriority w:val="99"/>
    <w:semiHidden/>
    <w:unhideWhenUsed/>
    <w:rsid w:val="001F00D4"/>
    <w:rPr>
      <w:sz w:val="16"/>
      <w:szCs w:val="16"/>
    </w:rPr>
  </w:style>
  <w:style w:type="paragraph" w:styleId="CommentText">
    <w:name w:val="annotation text"/>
    <w:basedOn w:val="Normal"/>
    <w:link w:val="CommentTextChar"/>
    <w:uiPriority w:val="99"/>
    <w:semiHidden/>
    <w:unhideWhenUsed/>
    <w:rsid w:val="001F00D4"/>
    <w:rPr>
      <w:sz w:val="20"/>
      <w:szCs w:val="20"/>
    </w:rPr>
  </w:style>
  <w:style w:type="character" w:customStyle="1" w:styleId="CommentTextChar">
    <w:name w:val="Comment Text Char"/>
    <w:basedOn w:val="DefaultParagraphFont"/>
    <w:link w:val="CommentText"/>
    <w:uiPriority w:val="99"/>
    <w:semiHidden/>
    <w:rsid w:val="001F00D4"/>
    <w:rPr>
      <w:sz w:val="20"/>
      <w:szCs w:val="20"/>
    </w:rPr>
  </w:style>
  <w:style w:type="paragraph" w:styleId="CommentSubject">
    <w:name w:val="annotation subject"/>
    <w:basedOn w:val="CommentText"/>
    <w:next w:val="CommentText"/>
    <w:link w:val="CommentSubjectChar"/>
    <w:uiPriority w:val="99"/>
    <w:semiHidden/>
    <w:unhideWhenUsed/>
    <w:rsid w:val="001F00D4"/>
    <w:rPr>
      <w:b/>
      <w:bCs/>
    </w:rPr>
  </w:style>
  <w:style w:type="character" w:customStyle="1" w:styleId="CommentSubjectChar">
    <w:name w:val="Comment Subject Char"/>
    <w:basedOn w:val="CommentTextChar"/>
    <w:link w:val="CommentSubject"/>
    <w:uiPriority w:val="99"/>
    <w:semiHidden/>
    <w:rsid w:val="001F00D4"/>
    <w:rPr>
      <w:b/>
      <w:bCs/>
      <w:sz w:val="20"/>
      <w:szCs w:val="20"/>
    </w:rPr>
  </w:style>
  <w:style w:type="paragraph" w:styleId="Header">
    <w:name w:val="header"/>
    <w:basedOn w:val="Normal"/>
    <w:link w:val="HeaderChar"/>
    <w:uiPriority w:val="99"/>
    <w:unhideWhenUsed/>
    <w:rsid w:val="00525211"/>
    <w:pPr>
      <w:tabs>
        <w:tab w:val="center" w:pos="4153"/>
        <w:tab w:val="right" w:pos="8306"/>
      </w:tabs>
    </w:pPr>
  </w:style>
  <w:style w:type="character" w:customStyle="1" w:styleId="HeaderChar">
    <w:name w:val="Header Char"/>
    <w:basedOn w:val="DefaultParagraphFont"/>
    <w:link w:val="Header"/>
    <w:uiPriority w:val="99"/>
    <w:rsid w:val="00525211"/>
  </w:style>
  <w:style w:type="paragraph" w:styleId="Footer">
    <w:name w:val="footer"/>
    <w:basedOn w:val="Normal"/>
    <w:link w:val="FooterChar"/>
    <w:uiPriority w:val="99"/>
    <w:unhideWhenUsed/>
    <w:rsid w:val="00525211"/>
    <w:pPr>
      <w:tabs>
        <w:tab w:val="center" w:pos="4153"/>
        <w:tab w:val="right" w:pos="8306"/>
      </w:tabs>
    </w:pPr>
  </w:style>
  <w:style w:type="character" w:customStyle="1" w:styleId="FooterChar">
    <w:name w:val="Footer Char"/>
    <w:basedOn w:val="DefaultParagraphFont"/>
    <w:link w:val="Footer"/>
    <w:uiPriority w:val="99"/>
    <w:rsid w:val="00525211"/>
  </w:style>
  <w:style w:type="paragraph" w:customStyle="1" w:styleId="Nos2">
    <w:name w:val="Nos2"/>
    <w:rsid w:val="00817707"/>
    <w:pPr>
      <w:spacing w:before="120" w:after="120"/>
      <w:jc w:val="center"/>
    </w:pPr>
    <w:rPr>
      <w:rFonts w:eastAsia="Times New Roman"/>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BB6C-24B5-43E2-96CF-1603B390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11900</Words>
  <Characters>6784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Iveta Dementjeva</cp:lastModifiedBy>
  <cp:revision>3</cp:revision>
  <cp:lastPrinted>2017-06-05T06:21:00Z</cp:lastPrinted>
  <dcterms:created xsi:type="dcterms:W3CDTF">2017-06-05T06:23:00Z</dcterms:created>
  <dcterms:modified xsi:type="dcterms:W3CDTF">2017-06-05T07:36:00Z</dcterms:modified>
</cp:coreProperties>
</file>