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4587" w14:textId="77777777" w:rsidR="000D63C2" w:rsidRPr="00630735" w:rsidRDefault="000D63C2" w:rsidP="000D63C2">
      <w:pPr>
        <w:tabs>
          <w:tab w:val="left" w:pos="3760"/>
        </w:tabs>
        <w:ind w:left="-284" w:right="-625" w:firstLine="4394"/>
        <w:jc w:val="right"/>
        <w:rPr>
          <w:rFonts w:ascii="Arial" w:hAnsi="Arial" w:cs="Arial"/>
          <w:i/>
          <w:sz w:val="20"/>
          <w:szCs w:val="20"/>
        </w:rPr>
      </w:pPr>
      <w:r w:rsidRPr="00630735">
        <w:rPr>
          <w:rFonts w:ascii="Arial" w:hAnsi="Arial" w:cs="Arial"/>
          <w:i/>
          <w:sz w:val="20"/>
          <w:szCs w:val="20"/>
        </w:rPr>
        <w:t>APSTIPRINĀTS:</w:t>
      </w:r>
    </w:p>
    <w:p w14:paraId="39C70F1B" w14:textId="1BDC89A5" w:rsidR="000D63C2" w:rsidRPr="00630735" w:rsidRDefault="000D63C2" w:rsidP="000D63C2">
      <w:pPr>
        <w:tabs>
          <w:tab w:val="left" w:pos="3760"/>
        </w:tabs>
        <w:ind w:left="-284" w:right="-625" w:firstLine="4394"/>
        <w:jc w:val="right"/>
        <w:rPr>
          <w:rFonts w:ascii="Arial" w:hAnsi="Arial" w:cs="Arial"/>
          <w:i/>
          <w:sz w:val="20"/>
          <w:szCs w:val="20"/>
        </w:rPr>
      </w:pPr>
      <w:r w:rsidRPr="00630735">
        <w:rPr>
          <w:rFonts w:ascii="Arial" w:hAnsi="Arial" w:cs="Arial"/>
          <w:i/>
          <w:sz w:val="20"/>
          <w:szCs w:val="20"/>
        </w:rPr>
        <w:t xml:space="preserve">ar iepirkuma komisijas </w:t>
      </w:r>
      <w:r w:rsidRPr="00630735">
        <w:rPr>
          <w:rFonts w:ascii="Arial" w:eastAsia="Arial Unicode MS" w:hAnsi="Arial" w:cs="Arial"/>
          <w:i/>
          <w:sz w:val="20"/>
          <w:szCs w:val="20"/>
        </w:rPr>
        <w:t>202</w:t>
      </w:r>
      <w:r w:rsidR="007521A6" w:rsidRPr="00630735">
        <w:rPr>
          <w:rFonts w:ascii="Arial" w:eastAsia="Arial Unicode MS" w:hAnsi="Arial" w:cs="Arial"/>
          <w:i/>
          <w:sz w:val="20"/>
          <w:szCs w:val="20"/>
        </w:rPr>
        <w:t>3</w:t>
      </w:r>
      <w:r w:rsidRPr="00630735">
        <w:rPr>
          <w:rFonts w:ascii="Arial" w:eastAsia="Arial Unicode MS" w:hAnsi="Arial" w:cs="Arial"/>
          <w:i/>
          <w:sz w:val="20"/>
          <w:szCs w:val="20"/>
        </w:rPr>
        <w:t xml:space="preserve">.gada </w:t>
      </w:r>
      <w:r w:rsidR="007521A6" w:rsidRPr="00630735">
        <w:rPr>
          <w:rFonts w:ascii="Arial" w:eastAsia="Arial Unicode MS" w:hAnsi="Arial" w:cs="Arial"/>
          <w:i/>
          <w:sz w:val="20"/>
          <w:szCs w:val="20"/>
        </w:rPr>
        <w:t>26.janvāra</w:t>
      </w:r>
    </w:p>
    <w:p w14:paraId="249B4817" w14:textId="42F8E359" w:rsidR="000D63C2" w:rsidRPr="00630735" w:rsidRDefault="000D63C2" w:rsidP="000D63C2">
      <w:pPr>
        <w:tabs>
          <w:tab w:val="left" w:pos="3760"/>
        </w:tabs>
        <w:ind w:left="-284" w:right="-625" w:firstLine="4394"/>
        <w:jc w:val="right"/>
        <w:rPr>
          <w:rFonts w:ascii="Arial" w:hAnsi="Arial" w:cs="Arial"/>
          <w:i/>
          <w:sz w:val="20"/>
          <w:szCs w:val="20"/>
        </w:rPr>
      </w:pPr>
      <w:r w:rsidRPr="00630735">
        <w:rPr>
          <w:rFonts w:ascii="Arial" w:eastAsia="Arial Unicode MS" w:hAnsi="Arial" w:cs="Arial"/>
          <w:i/>
          <w:sz w:val="20"/>
          <w:szCs w:val="20"/>
        </w:rPr>
        <w:t xml:space="preserve">2.sēdes protokolu </w:t>
      </w:r>
    </w:p>
    <w:p w14:paraId="04509DB5" w14:textId="77777777" w:rsidR="000D63C2" w:rsidRDefault="000D63C2" w:rsidP="000D63C2">
      <w:pPr>
        <w:pStyle w:val="Title"/>
        <w:rPr>
          <w:b/>
          <w:sz w:val="24"/>
          <w:szCs w:val="24"/>
        </w:rPr>
      </w:pPr>
      <w:bookmarkStart w:id="0" w:name="_Hlk70322056"/>
    </w:p>
    <w:p w14:paraId="062FAA8D" w14:textId="77777777" w:rsidR="007521A6" w:rsidRPr="00D54984" w:rsidRDefault="007521A6" w:rsidP="007521A6">
      <w:pPr>
        <w:pStyle w:val="Title"/>
        <w:rPr>
          <w:rFonts w:ascii="Arial" w:hAnsi="Arial" w:cs="Arial"/>
          <w:b/>
          <w:sz w:val="22"/>
          <w:szCs w:val="22"/>
        </w:rPr>
      </w:pPr>
      <w:r>
        <w:rPr>
          <w:rFonts w:ascii="Arial" w:hAnsi="Arial" w:cs="Arial"/>
          <w:b/>
          <w:sz w:val="22"/>
          <w:szCs w:val="22"/>
        </w:rPr>
        <w:t>S</w:t>
      </w:r>
      <w:r w:rsidRPr="00D54984">
        <w:rPr>
          <w:rFonts w:ascii="Arial" w:hAnsi="Arial" w:cs="Arial"/>
          <w:b/>
          <w:sz w:val="22"/>
          <w:szCs w:val="22"/>
        </w:rPr>
        <w:t>arunu procedūras ar publikāciju</w:t>
      </w:r>
    </w:p>
    <w:p w14:paraId="6DAE9D5D" w14:textId="77777777" w:rsidR="007521A6" w:rsidRPr="00846868" w:rsidRDefault="007521A6" w:rsidP="007521A6">
      <w:pPr>
        <w:pStyle w:val="Nos2"/>
        <w:spacing w:before="0" w:after="0"/>
        <w:rPr>
          <w:rFonts w:ascii="Arial" w:hAnsi="Arial" w:cs="Arial"/>
          <w:b/>
          <w:bCs w:val="0"/>
          <w:sz w:val="22"/>
          <w:szCs w:val="22"/>
        </w:rPr>
      </w:pPr>
      <w:r w:rsidRPr="00846868">
        <w:rPr>
          <w:rFonts w:ascii="Arial" w:hAnsi="Arial" w:cs="Arial"/>
          <w:b/>
          <w:bCs w:val="0"/>
          <w:sz w:val="22"/>
          <w:szCs w:val="22"/>
        </w:rPr>
        <w:t>“</w:t>
      </w:r>
      <w:r w:rsidRPr="00846868">
        <w:rPr>
          <w:rFonts w:ascii="Arial" w:hAnsi="Arial" w:cs="Arial"/>
          <w:b/>
          <w:sz w:val="22"/>
          <w:szCs w:val="22"/>
        </w:rPr>
        <w:t>Trīs 2M62UM dīzeļlokomotīvju 16V4000R43 dzinēju remonts QL3 apjomā” SIA "LDZ ritošā sastāva serviss" vajadzībām</w:t>
      </w:r>
      <w:r w:rsidRPr="00846868">
        <w:rPr>
          <w:rFonts w:ascii="Arial" w:hAnsi="Arial" w:cs="Arial"/>
          <w:b/>
          <w:bCs w:val="0"/>
          <w:sz w:val="22"/>
          <w:szCs w:val="22"/>
        </w:rPr>
        <w:t xml:space="preserve">” </w:t>
      </w:r>
    </w:p>
    <w:p w14:paraId="5ED7F730" w14:textId="77777777" w:rsidR="007521A6" w:rsidRDefault="007521A6" w:rsidP="007521A6">
      <w:pPr>
        <w:tabs>
          <w:tab w:val="center" w:pos="6979"/>
          <w:tab w:val="left" w:pos="9564"/>
        </w:tabs>
        <w:jc w:val="center"/>
        <w:rPr>
          <w:rFonts w:ascii="Arial" w:hAnsi="Arial" w:cs="Arial"/>
          <w:b/>
          <w:color w:val="000000"/>
        </w:rPr>
      </w:pPr>
      <w:r w:rsidRPr="00846868">
        <w:rPr>
          <w:rFonts w:ascii="Arial" w:hAnsi="Arial" w:cs="Arial"/>
          <w:b/>
        </w:rPr>
        <w:t>Iepirkuma Id.Nr. LDZ 2023/5-SPA</w:t>
      </w:r>
      <w:r>
        <w:rPr>
          <w:rFonts w:ascii="Arial" w:hAnsi="Arial" w:cs="Arial"/>
          <w:b/>
        </w:rPr>
        <w:t xml:space="preserve"> nolikuma</w:t>
      </w:r>
    </w:p>
    <w:p w14:paraId="42B88BC0" w14:textId="77777777" w:rsidR="000D63C2" w:rsidRPr="0014327C" w:rsidRDefault="000D63C2" w:rsidP="000D63C2">
      <w:pPr>
        <w:pStyle w:val="Title"/>
        <w:rPr>
          <w:b/>
          <w:sz w:val="24"/>
          <w:szCs w:val="24"/>
        </w:rPr>
      </w:pPr>
    </w:p>
    <w:p w14:paraId="3CD60C3B" w14:textId="51FBD25A" w:rsidR="000D63C2" w:rsidRPr="007521A6" w:rsidRDefault="00557907" w:rsidP="000D63C2">
      <w:pPr>
        <w:jc w:val="center"/>
        <w:rPr>
          <w:rFonts w:ascii="Times New Roman" w:hAnsi="Times New Roman" w:cs="Times New Roman"/>
          <w:b/>
          <w:color w:val="70AD47" w:themeColor="accent6"/>
          <w:sz w:val="24"/>
          <w:szCs w:val="24"/>
        </w:rPr>
      </w:pPr>
      <w:r w:rsidRPr="007521A6">
        <w:rPr>
          <w:rFonts w:ascii="Times New Roman" w:hAnsi="Times New Roman" w:cs="Times New Roman"/>
          <w:b/>
          <w:color w:val="70AD47" w:themeColor="accent6"/>
          <w:sz w:val="24"/>
          <w:szCs w:val="24"/>
        </w:rPr>
        <w:t>GROZĪJUMI</w:t>
      </w:r>
      <w:r w:rsidR="000D63C2" w:rsidRPr="007521A6">
        <w:rPr>
          <w:rFonts w:ascii="Times New Roman" w:hAnsi="Times New Roman" w:cs="Times New Roman"/>
          <w:b/>
          <w:color w:val="70AD47" w:themeColor="accent6"/>
          <w:sz w:val="24"/>
          <w:szCs w:val="24"/>
        </w:rPr>
        <w:t xml:space="preserve"> Nr.</w:t>
      </w:r>
      <w:bookmarkEnd w:id="0"/>
      <w:r w:rsidR="000D63C2" w:rsidRPr="007521A6">
        <w:rPr>
          <w:rFonts w:ascii="Times New Roman" w:hAnsi="Times New Roman" w:cs="Times New Roman"/>
          <w:b/>
          <w:color w:val="70AD47" w:themeColor="accent6"/>
          <w:sz w:val="24"/>
          <w:szCs w:val="24"/>
        </w:rPr>
        <w:t>1</w:t>
      </w:r>
    </w:p>
    <w:p w14:paraId="4FF7105A" w14:textId="77777777" w:rsidR="000D63C2" w:rsidRDefault="000D63C2" w:rsidP="000D63C2">
      <w:pPr>
        <w:jc w:val="center"/>
        <w:rPr>
          <w:rFonts w:ascii="Times New Roman" w:hAnsi="Times New Roman" w:cs="Times New Roman"/>
          <w:b/>
          <w:sz w:val="24"/>
          <w:szCs w:val="24"/>
        </w:rPr>
      </w:pPr>
    </w:p>
    <w:p w14:paraId="27051291" w14:textId="77777777" w:rsidR="007521A6" w:rsidRPr="008942AC" w:rsidRDefault="007521A6" w:rsidP="007521A6">
      <w:pPr>
        <w:numPr>
          <w:ilvl w:val="0"/>
          <w:numId w:val="3"/>
        </w:numPr>
        <w:ind w:left="-567" w:firstLine="0"/>
        <w:contextualSpacing/>
        <w:jc w:val="both"/>
        <w:rPr>
          <w:rFonts w:ascii="Arial" w:eastAsia="Calibri" w:hAnsi="Arial" w:cs="Arial"/>
        </w:rPr>
      </w:pPr>
      <w:r w:rsidRPr="008942AC">
        <w:rPr>
          <w:rFonts w:ascii="Arial" w:eastAsia="Calibri" w:hAnsi="Arial" w:cs="Arial"/>
        </w:rPr>
        <w:t xml:space="preserve">Izteikt sarunu procedūras ar publikāciju nolikuma 1.pielikuma (pieteikums) 4.punktu šādā redakcijā: </w:t>
      </w:r>
    </w:p>
    <w:p w14:paraId="08A61886" w14:textId="77777777" w:rsidR="007521A6" w:rsidRPr="008942AC" w:rsidRDefault="007521A6" w:rsidP="007521A6">
      <w:pPr>
        <w:ind w:left="-567"/>
        <w:contextualSpacing/>
        <w:jc w:val="both"/>
        <w:rPr>
          <w:rFonts w:ascii="Arial" w:eastAsia="Calibri" w:hAnsi="Arial" w:cs="Arial"/>
        </w:rPr>
      </w:pPr>
    </w:p>
    <w:p w14:paraId="670789F8" w14:textId="77777777" w:rsidR="007521A6" w:rsidRPr="008942AC" w:rsidRDefault="007521A6" w:rsidP="007521A6">
      <w:pPr>
        <w:pStyle w:val="ListParagraph"/>
        <w:numPr>
          <w:ilvl w:val="0"/>
          <w:numId w:val="2"/>
        </w:numPr>
        <w:spacing w:after="0" w:line="240" w:lineRule="auto"/>
        <w:ind w:left="0" w:right="46"/>
        <w:rPr>
          <w:rFonts w:ascii="Arial" w:hAnsi="Arial" w:cs="Arial"/>
          <w:color w:val="70AD47"/>
          <w:sz w:val="20"/>
          <w:szCs w:val="20"/>
          <w:lang w:val="lv-LV"/>
        </w:rPr>
      </w:pPr>
      <w:r w:rsidRPr="007521A6">
        <w:rPr>
          <w:rFonts w:ascii="Arial" w:hAnsi="Arial" w:cs="Arial"/>
          <w:lang w:val="lv-LV"/>
        </w:rPr>
        <w:t>“</w:t>
      </w:r>
      <w:r w:rsidRPr="008942AC">
        <w:rPr>
          <w:rFonts w:ascii="Arial" w:hAnsi="Arial" w:cs="Arial"/>
          <w:color w:val="70AD47"/>
          <w:sz w:val="20"/>
          <w:szCs w:val="20"/>
          <w:lang w:val="lv-LV"/>
        </w:rPr>
        <w:t>garantē, ka darbu ietvaros nomaināmās detaļas ražojis MTU dīzeļdzinēju ražotājs vai dzinēju ražotāja norādītās trešās personas un tās būs jaunas, nebūs iepriekš lietotas. Ja darbu ietvaros saskaņā ar MTU Friedrichshafen GmbH remonta tehnisko dokumentāciju ir pieļaujama atjaunotu rezerves daļu uzstādīšana un tās tiks pielietotas, garantē, ka MTU dīzeļdzinēju ražotās rezerves daļas būs atjaunojis pats MTU dīzeļdzinēju ražotājs vai ražotāja norādītās trešās personas;</w:t>
      </w:r>
      <w:r w:rsidRPr="007521A6">
        <w:rPr>
          <w:rFonts w:ascii="Arial" w:hAnsi="Arial" w:cs="Arial"/>
          <w:color w:val="auto"/>
          <w:lang w:val="lv-LV"/>
        </w:rPr>
        <w:t>”</w:t>
      </w:r>
      <w:r w:rsidRPr="008942AC">
        <w:rPr>
          <w:rFonts w:ascii="Arial" w:hAnsi="Arial" w:cs="Arial"/>
          <w:color w:val="auto"/>
          <w:sz w:val="20"/>
          <w:szCs w:val="20"/>
          <w:lang w:val="lv-LV"/>
        </w:rPr>
        <w:t> </w:t>
      </w:r>
    </w:p>
    <w:p w14:paraId="2744DF43" w14:textId="77777777" w:rsidR="007521A6" w:rsidRPr="007521A6" w:rsidRDefault="007521A6" w:rsidP="007521A6">
      <w:pPr>
        <w:pStyle w:val="ListParagraph"/>
        <w:ind w:left="0" w:hanging="360"/>
        <w:rPr>
          <w:rFonts w:ascii="Arial" w:hAnsi="Arial" w:cs="Arial"/>
          <w:lang w:val="lv-LV"/>
        </w:rPr>
      </w:pPr>
    </w:p>
    <w:p w14:paraId="1835E3F6" w14:textId="77777777" w:rsidR="007521A6" w:rsidRPr="008942AC" w:rsidRDefault="007521A6" w:rsidP="007521A6">
      <w:pPr>
        <w:tabs>
          <w:tab w:val="left" w:pos="0"/>
          <w:tab w:val="left" w:pos="5245"/>
        </w:tabs>
        <w:ind w:hanging="360"/>
        <w:jc w:val="both"/>
        <w:rPr>
          <w:rFonts w:ascii="Arial" w:hAnsi="Arial" w:cs="Arial"/>
        </w:rPr>
      </w:pPr>
    </w:p>
    <w:p w14:paraId="667706F1" w14:textId="77777777" w:rsidR="007521A6" w:rsidRPr="008942AC" w:rsidRDefault="007521A6" w:rsidP="007521A6">
      <w:pPr>
        <w:tabs>
          <w:tab w:val="left" w:pos="0"/>
        </w:tabs>
        <w:ind w:hanging="360"/>
        <w:contextualSpacing/>
        <w:jc w:val="both"/>
        <w:rPr>
          <w:rFonts w:ascii="Arial" w:eastAsia="Calibri" w:hAnsi="Arial" w:cs="Arial"/>
        </w:rPr>
      </w:pPr>
      <w:r w:rsidRPr="008942AC">
        <w:rPr>
          <w:rFonts w:ascii="Arial" w:eastAsia="Calibri" w:hAnsi="Arial" w:cs="Arial"/>
          <w:b/>
          <w:bCs/>
        </w:rPr>
        <w:t>2.</w:t>
      </w:r>
      <w:r w:rsidRPr="008942AC">
        <w:rPr>
          <w:rFonts w:ascii="Arial" w:eastAsia="Calibri" w:hAnsi="Arial" w:cs="Arial"/>
        </w:rPr>
        <w:t xml:space="preserve"> Izteikt sarunu procedūras ar publikāciju nolikuma </w:t>
      </w:r>
      <w:r w:rsidRPr="008942AC">
        <w:rPr>
          <w:rFonts w:ascii="Arial" w:hAnsi="Arial" w:cs="Arial"/>
        </w:rPr>
        <w:t>5.pielikuma (līguma projekts) 1.pielikuma 3.1.punktu</w:t>
      </w:r>
      <w:r w:rsidRPr="008942AC">
        <w:rPr>
          <w:rFonts w:ascii="Arial" w:eastAsia="Calibri" w:hAnsi="Arial" w:cs="Arial"/>
        </w:rPr>
        <w:t xml:space="preserve"> šādā redakcijā: </w:t>
      </w:r>
    </w:p>
    <w:p w14:paraId="7F523CB0" w14:textId="77777777" w:rsidR="007521A6" w:rsidRPr="008942AC" w:rsidRDefault="007521A6" w:rsidP="007521A6">
      <w:pPr>
        <w:tabs>
          <w:tab w:val="left" w:pos="0"/>
        </w:tabs>
        <w:ind w:hanging="360"/>
        <w:jc w:val="both"/>
        <w:rPr>
          <w:rFonts w:ascii="Arial" w:hAnsi="Arial" w:cs="Arial"/>
        </w:rPr>
      </w:pPr>
    </w:p>
    <w:p w14:paraId="10EF36C8" w14:textId="77777777" w:rsidR="007521A6" w:rsidRPr="008942AC" w:rsidRDefault="007521A6" w:rsidP="007521A6">
      <w:pPr>
        <w:autoSpaceDE w:val="0"/>
        <w:autoSpaceDN w:val="0"/>
        <w:adjustRightInd w:val="0"/>
        <w:ind w:hanging="360"/>
        <w:jc w:val="both"/>
        <w:rPr>
          <w:rFonts w:ascii="Arial" w:hAnsi="Arial" w:cs="Arial"/>
          <w:color w:val="70AD47"/>
          <w:sz w:val="20"/>
          <w:szCs w:val="20"/>
        </w:rPr>
      </w:pPr>
      <w:r w:rsidRPr="008942AC">
        <w:rPr>
          <w:rFonts w:ascii="Arial" w:hAnsi="Arial" w:cs="Arial"/>
        </w:rPr>
        <w:t>3.1. “</w:t>
      </w:r>
      <w:r w:rsidRPr="008942AC">
        <w:rPr>
          <w:rFonts w:ascii="Arial" w:hAnsi="Arial" w:cs="Arial"/>
          <w:color w:val="70AD47"/>
          <w:sz w:val="20"/>
          <w:szCs w:val="20"/>
        </w:rPr>
        <w:t>Izpildītājs apņemas Remonta darbu veikšanai izmantot tikai oriģinālās rezerves daļas, kuras ražojis dzinēju ražotājs vai Dzinēju ražotāja norādītās trešās personas, un Dzinēju ražotāja norādītos ekspluatācijas materiālus. Ja Remonta darbu ietvaros saskaņā ar Dzinēju ražotāja remonta tehnisko dokumentāciju ir pieļaujama atjaunotu rezerves daļu uzstādīšana un tās tiks pielietotas, garantē, ka Dzinēju ražotāja rezerves daļas būs atjaunojis pats Dzinēju ražotājs vai ražotāja norādītās trešās personas.</w:t>
      </w:r>
      <w:r w:rsidRPr="008942AC">
        <w:rPr>
          <w:rFonts w:ascii="Arial" w:hAnsi="Arial" w:cs="Arial"/>
        </w:rPr>
        <w:t>”</w:t>
      </w:r>
      <w:r w:rsidRPr="008942AC">
        <w:rPr>
          <w:rFonts w:ascii="Arial" w:hAnsi="Arial" w:cs="Arial"/>
          <w:sz w:val="20"/>
          <w:szCs w:val="20"/>
        </w:rPr>
        <w:t xml:space="preserve"> </w:t>
      </w:r>
      <w:r w:rsidRPr="008942AC">
        <w:rPr>
          <w:rFonts w:ascii="Arial" w:hAnsi="Arial" w:cs="Arial"/>
          <w:color w:val="70AD47"/>
          <w:sz w:val="20"/>
          <w:szCs w:val="20"/>
        </w:rPr>
        <w:t> </w:t>
      </w:r>
    </w:p>
    <w:p w14:paraId="44156076" w14:textId="77777777" w:rsidR="007521A6" w:rsidRPr="007521A6" w:rsidRDefault="007521A6" w:rsidP="007521A6">
      <w:pPr>
        <w:pStyle w:val="ListParagraph"/>
        <w:ind w:firstLine="0"/>
        <w:rPr>
          <w:rFonts w:ascii="Arial" w:hAnsi="Arial" w:cs="Arial"/>
          <w:highlight w:val="yellow"/>
          <w:lang w:val="lv-LV"/>
        </w:rPr>
      </w:pPr>
    </w:p>
    <w:p w14:paraId="7C2AE33A" w14:textId="62C12714" w:rsidR="0098236C" w:rsidRPr="00C20434" w:rsidRDefault="0098236C" w:rsidP="007521A6">
      <w:pPr>
        <w:jc w:val="both"/>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FC"/>
    <w:multiLevelType w:val="hybridMultilevel"/>
    <w:tmpl w:val="B31483F8"/>
    <w:lvl w:ilvl="0" w:tplc="DC961CF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C67BE6"/>
    <w:multiLevelType w:val="hybridMultilevel"/>
    <w:tmpl w:val="00E471B8"/>
    <w:lvl w:ilvl="0" w:tplc="328A5A40">
      <w:start w:val="1"/>
      <w:numFmt w:val="decimal"/>
      <w:lvlText w:val="%1."/>
      <w:lvlJc w:val="left"/>
      <w:pPr>
        <w:ind w:left="720" w:hanging="360"/>
      </w:pPr>
      <w:rPr>
        <w:rFonts w:ascii="Arial" w:eastAsia="Times New Roman" w:hAnsi="Arial" w:cs="Arial"/>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3681298">
    <w:abstractNumId w:val="0"/>
  </w:num>
  <w:num w:numId="2" w16cid:durableId="403601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72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E8"/>
    <w:rsid w:val="000D63C2"/>
    <w:rsid w:val="003204EA"/>
    <w:rsid w:val="0042438F"/>
    <w:rsid w:val="00557907"/>
    <w:rsid w:val="005C2FE8"/>
    <w:rsid w:val="00630735"/>
    <w:rsid w:val="0071292B"/>
    <w:rsid w:val="007521A6"/>
    <w:rsid w:val="0098236C"/>
    <w:rsid w:val="00A03DF9"/>
    <w:rsid w:val="00C20434"/>
    <w:rsid w:val="00F1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3613"/>
  <w15:chartTrackingRefBased/>
  <w15:docId w15:val="{235089EA-2C03-4F34-A339-C411877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C2"/>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63C2"/>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0D63C2"/>
    <w:rPr>
      <w:rFonts w:ascii="Times New Roman" w:eastAsia="Times New Roman" w:hAnsi="Times New Roman" w:cs="Times New Roman"/>
      <w:sz w:val="28"/>
      <w:szCs w:val="20"/>
    </w:rPr>
  </w:style>
  <w:style w:type="paragraph" w:styleId="ListParagraph">
    <w:name w:val="List Paragraph"/>
    <w:aliases w:val="Saistīto dokumentu saraksts,Syle 1,Numurets,PPS_Bullet,Virsraksti,2,H&amp;P List Paragraph,Strip,Normal bullet 2,Bullet list,Bullets,Numbered List,List Paragraph1,Paragraph,Bullet point 1,1st level - Bullet List Paragraph,Saraksta rindkopa"/>
    <w:basedOn w:val="Normal"/>
    <w:link w:val="ListParagraphChar"/>
    <w:uiPriority w:val="34"/>
    <w:qFormat/>
    <w:rsid w:val="000D63C2"/>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aistīto dokumentu saraksts Char,Syle 1 Char,Numurets Char,PPS_Bullet Char,Virsraksti Char,2 Char,H&amp;P List Paragraph Char,Strip Char,Normal bullet 2 Char,Bullet list Char,Bullets Char,Numbered List Char,List Paragraph1 Char"/>
    <w:link w:val="ListParagraph"/>
    <w:uiPriority w:val="34"/>
    <w:qFormat/>
    <w:locked/>
    <w:rsid w:val="000D63C2"/>
    <w:rPr>
      <w:rFonts w:ascii="Times New Roman" w:eastAsia="Times New Roman" w:hAnsi="Times New Roman" w:cs="Times New Roman"/>
      <w:color w:val="000000"/>
      <w:lang w:val="ru-RU" w:eastAsia="ru-RU"/>
    </w:rPr>
  </w:style>
  <w:style w:type="table" w:styleId="TableGrid">
    <w:name w:val="Table Grid"/>
    <w:basedOn w:val="TableNormal"/>
    <w:uiPriority w:val="39"/>
    <w:rsid w:val="000D63C2"/>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2">
    <w:name w:val="Nos2"/>
    <w:rsid w:val="007521A6"/>
    <w:pPr>
      <w:spacing w:before="120" w:after="120" w:line="240" w:lineRule="auto"/>
      <w:jc w:val="center"/>
    </w:pPr>
    <w:rPr>
      <w:rFonts w:ascii="Times New Roman" w:eastAsia="Times New Roman" w:hAnsi="Times New Roman" w:cs="Times New Roman"/>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954</Words>
  <Characters>544</Characters>
  <Application>Microsoft Office Word</Application>
  <DocSecurity>0</DocSecurity>
  <Lines>4</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dcterms:created xsi:type="dcterms:W3CDTF">2023-01-27T06:44:00Z</dcterms:created>
  <dcterms:modified xsi:type="dcterms:W3CDTF">2023-01-27T06:48:00Z</dcterms:modified>
</cp:coreProperties>
</file>