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E0F9" w14:textId="77777777" w:rsidR="00E15DF3" w:rsidRPr="008951BD" w:rsidRDefault="00E15DF3" w:rsidP="00E15DF3">
      <w:pPr>
        <w:tabs>
          <w:tab w:val="left" w:pos="3760"/>
        </w:tabs>
        <w:ind w:left="-284" w:right="-1" w:firstLine="4395"/>
        <w:jc w:val="right"/>
        <w:rPr>
          <w:rFonts w:eastAsia="Calibri"/>
          <w:i/>
          <w:szCs w:val="24"/>
          <w:lang w:eastAsia="lv-LV"/>
        </w:rPr>
      </w:pPr>
      <w:r w:rsidRPr="008951BD">
        <w:rPr>
          <w:rFonts w:eastAsia="Calibri"/>
          <w:i/>
          <w:szCs w:val="24"/>
          <w:lang w:eastAsia="lv-LV"/>
        </w:rPr>
        <w:t>APSTIPRINĀTS:</w:t>
      </w:r>
    </w:p>
    <w:p w14:paraId="1273AE44" w14:textId="4F48F697" w:rsidR="00E15DF3" w:rsidRPr="008951BD" w:rsidRDefault="00E15DF3" w:rsidP="00E15DF3">
      <w:pPr>
        <w:tabs>
          <w:tab w:val="left" w:pos="3760"/>
        </w:tabs>
        <w:ind w:right="-1"/>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 xml:space="preserve">2020.gada </w:t>
      </w:r>
      <w:r>
        <w:rPr>
          <w:rFonts w:eastAsia="Arial Unicode MS"/>
          <w:i/>
          <w:szCs w:val="24"/>
          <w:lang w:eastAsia="lv-LV"/>
        </w:rPr>
        <w:t>2</w:t>
      </w:r>
      <w:r w:rsidR="00C15F38">
        <w:rPr>
          <w:rFonts w:eastAsia="Arial Unicode MS"/>
          <w:i/>
          <w:szCs w:val="24"/>
          <w:lang w:eastAsia="lv-LV"/>
        </w:rPr>
        <w:t>9</w:t>
      </w:r>
      <w:r w:rsidRPr="008951BD">
        <w:rPr>
          <w:rFonts w:eastAsia="Arial Unicode MS"/>
          <w:i/>
          <w:szCs w:val="24"/>
          <w:lang w:eastAsia="lv-LV"/>
        </w:rPr>
        <w:t xml:space="preserve">.jūlija </w:t>
      </w:r>
    </w:p>
    <w:p w14:paraId="7AF11947" w14:textId="77777777" w:rsidR="00E15DF3" w:rsidRDefault="00E15DF3" w:rsidP="00E15DF3">
      <w:pPr>
        <w:ind w:right="-1"/>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7</w:t>
      </w:r>
    </w:p>
    <w:p w14:paraId="0E63A9F0" w14:textId="77777777" w:rsidR="0098236C" w:rsidRDefault="0098236C">
      <w:pPr>
        <w:rPr>
          <w:rFonts w:ascii="Arial" w:hAnsi="Arial" w:cs="Arial"/>
        </w:rPr>
      </w:pPr>
    </w:p>
    <w:p w14:paraId="207B1A75" w14:textId="77777777" w:rsidR="00E15DF3" w:rsidRDefault="00E15DF3">
      <w:pPr>
        <w:rPr>
          <w:rFonts w:ascii="Arial" w:hAnsi="Arial" w:cs="Arial"/>
        </w:rPr>
      </w:pPr>
    </w:p>
    <w:p w14:paraId="2DB2ABCF" w14:textId="77777777" w:rsidR="00E15DF3" w:rsidRDefault="00E15DF3">
      <w:pPr>
        <w:rPr>
          <w:rFonts w:ascii="Arial" w:hAnsi="Arial" w:cs="Arial"/>
        </w:rPr>
      </w:pPr>
    </w:p>
    <w:p w14:paraId="3A75EB9B" w14:textId="77777777" w:rsidR="00E15DF3" w:rsidRPr="00681731" w:rsidRDefault="00E15DF3" w:rsidP="00E15DF3">
      <w:pPr>
        <w:jc w:val="center"/>
        <w:rPr>
          <w:b/>
          <w:szCs w:val="24"/>
        </w:rPr>
      </w:pPr>
      <w:r w:rsidRPr="00681731">
        <w:rPr>
          <w:b/>
        </w:rPr>
        <w:t>VAS </w:t>
      </w:r>
      <w:r w:rsidRPr="00681731">
        <w:rPr>
          <w:b/>
          <w:color w:val="222222"/>
        </w:rPr>
        <w:t>„</w:t>
      </w:r>
      <w:r w:rsidRPr="00681731">
        <w:rPr>
          <w:b/>
        </w:rPr>
        <w:t>Latvijas dzelzceļš</w:t>
      </w:r>
      <w:r w:rsidRPr="00681731">
        <w:rPr>
          <w:b/>
          <w:szCs w:val="24"/>
        </w:rPr>
        <w:t xml:space="preserve">” </w:t>
      </w:r>
    </w:p>
    <w:p w14:paraId="58DC771E" w14:textId="77777777" w:rsidR="00E15DF3" w:rsidRPr="00681731" w:rsidRDefault="00E15DF3" w:rsidP="00E15DF3">
      <w:pPr>
        <w:ind w:left="142" w:right="-1"/>
        <w:jc w:val="center"/>
        <w:rPr>
          <w:b/>
          <w:szCs w:val="24"/>
        </w:rPr>
      </w:pPr>
      <w:r w:rsidRPr="00681731">
        <w:rPr>
          <w:b/>
          <w:szCs w:val="24"/>
        </w:rPr>
        <w:t>sarunu procedūras ar publikāciju</w:t>
      </w:r>
    </w:p>
    <w:p w14:paraId="1CD2A3A0" w14:textId="77777777" w:rsidR="00E15DF3" w:rsidRPr="00B14347" w:rsidRDefault="00E15DF3" w:rsidP="00E15DF3">
      <w:pPr>
        <w:jc w:val="center"/>
        <w:rPr>
          <w:b/>
          <w:bCs/>
        </w:rPr>
      </w:pPr>
      <w:r w:rsidRPr="00B14347">
        <w:rPr>
          <w:b/>
          <w:bCs/>
          <w:color w:val="222222"/>
        </w:rPr>
        <w:t>„</w:t>
      </w:r>
      <w:r w:rsidRPr="00B14347">
        <w:rPr>
          <w:b/>
          <w:bCs/>
        </w:rPr>
        <w:t>Lokomotīvju videonovērošanas sistēmu (LVNS) piegāde un uzstādīšana</w:t>
      </w:r>
    </w:p>
    <w:p w14:paraId="57DBEFEA" w14:textId="77777777" w:rsidR="00E15DF3" w:rsidRPr="00B14347" w:rsidRDefault="00E15DF3" w:rsidP="00E15DF3">
      <w:pPr>
        <w:jc w:val="center"/>
        <w:rPr>
          <w:b/>
          <w:bCs/>
        </w:rPr>
      </w:pPr>
      <w:r w:rsidRPr="00B14347">
        <w:rPr>
          <w:b/>
          <w:bCs/>
        </w:rPr>
        <w:t xml:space="preserve"> SIA „LDZ CARGO” vajadzībām”</w:t>
      </w:r>
    </w:p>
    <w:p w14:paraId="2B8FC617" w14:textId="77777777" w:rsidR="00E15DF3" w:rsidRDefault="00E15DF3" w:rsidP="00E15DF3">
      <w:pPr>
        <w:jc w:val="center"/>
        <w:rPr>
          <w:rFonts w:eastAsia="Calibri"/>
          <w:szCs w:val="24"/>
        </w:rPr>
      </w:pPr>
      <w:r w:rsidRPr="003B77BC">
        <w:rPr>
          <w:rFonts w:eastAsia="Calibri"/>
          <w:szCs w:val="24"/>
        </w:rPr>
        <w:t>(turpmāk – sarunu procedūra)</w:t>
      </w:r>
    </w:p>
    <w:p w14:paraId="45AF3147" w14:textId="77777777" w:rsidR="00E15DF3" w:rsidRPr="00EF62F0" w:rsidRDefault="00E15DF3" w:rsidP="00E15DF3">
      <w:pPr>
        <w:rPr>
          <w:rFonts w:eastAsia="Calibri"/>
          <w:szCs w:val="24"/>
        </w:rPr>
      </w:pPr>
    </w:p>
    <w:p w14:paraId="6D025139" w14:textId="77777777" w:rsidR="00E15DF3" w:rsidRPr="00D56868" w:rsidRDefault="00E15DF3" w:rsidP="00E15DF3">
      <w:pPr>
        <w:jc w:val="center"/>
        <w:rPr>
          <w:rFonts w:eastAsia="Calibri"/>
          <w:b/>
          <w:bCs/>
          <w:szCs w:val="24"/>
        </w:rPr>
      </w:pPr>
      <w:r w:rsidRPr="00EF62F0">
        <w:rPr>
          <w:rFonts w:eastAsia="Calibri"/>
          <w:b/>
          <w:bCs/>
          <w:szCs w:val="24"/>
        </w:rPr>
        <w:t>Grozījumi Nr.</w:t>
      </w:r>
      <w:r>
        <w:rPr>
          <w:rFonts w:eastAsia="Calibri"/>
          <w:b/>
          <w:bCs/>
          <w:szCs w:val="24"/>
        </w:rPr>
        <w:t>3</w:t>
      </w:r>
    </w:p>
    <w:p w14:paraId="0CF2EF25" w14:textId="77777777" w:rsidR="00E15DF3" w:rsidRPr="002368A1" w:rsidRDefault="00E15DF3" w:rsidP="00E15DF3">
      <w:pPr>
        <w:spacing w:after="120"/>
        <w:contextualSpacing/>
        <w:rPr>
          <w:rFonts w:eastAsia="Calibri"/>
          <w:szCs w:val="24"/>
        </w:rPr>
      </w:pPr>
    </w:p>
    <w:p w14:paraId="5ECD2699" w14:textId="77777777" w:rsidR="00E15DF3" w:rsidRPr="006E3143" w:rsidRDefault="00E15DF3" w:rsidP="00E15DF3">
      <w:pPr>
        <w:pStyle w:val="ListParagraph"/>
        <w:numPr>
          <w:ilvl w:val="0"/>
          <w:numId w:val="2"/>
        </w:numPr>
        <w:ind w:left="0" w:firstLine="360"/>
        <w:jc w:val="both"/>
        <w:rPr>
          <w:sz w:val="24"/>
          <w:szCs w:val="24"/>
        </w:rPr>
      </w:pPr>
      <w:r>
        <w:rPr>
          <w:sz w:val="24"/>
          <w:szCs w:val="24"/>
        </w:rPr>
        <w:t>Izteikt</w:t>
      </w:r>
      <w:r w:rsidRPr="006E3143">
        <w:rPr>
          <w:sz w:val="24"/>
          <w:szCs w:val="24"/>
        </w:rPr>
        <w:t xml:space="preserve"> sarunu procedūras nolikuma 3.pielikuma </w:t>
      </w:r>
      <w:r w:rsidRPr="006E3143">
        <w:rPr>
          <w:color w:val="222222"/>
          <w:sz w:val="24"/>
          <w:szCs w:val="24"/>
        </w:rPr>
        <w:t>„</w:t>
      </w:r>
      <w:r w:rsidRPr="006E3143">
        <w:rPr>
          <w:sz w:val="24"/>
          <w:szCs w:val="24"/>
        </w:rPr>
        <w:t xml:space="preserve">Tehniskā specifikācija” sadaļu: </w:t>
      </w:r>
      <w:r w:rsidRPr="006E3143">
        <w:rPr>
          <w:i/>
          <w:iCs/>
          <w:sz w:val="24"/>
          <w:szCs w:val="24"/>
        </w:rPr>
        <w:t>Integrācija</w:t>
      </w:r>
      <w:r>
        <w:rPr>
          <w:i/>
          <w:iCs/>
          <w:sz w:val="24"/>
          <w:szCs w:val="24"/>
        </w:rPr>
        <w:t xml:space="preserve"> </w:t>
      </w:r>
      <w:r w:rsidRPr="00345933">
        <w:rPr>
          <w:sz w:val="24"/>
          <w:szCs w:val="24"/>
        </w:rPr>
        <w:t>šādā redakcijā</w:t>
      </w:r>
      <w:r w:rsidRPr="006E3143">
        <w:rPr>
          <w:sz w:val="24"/>
          <w:szCs w:val="24"/>
        </w:rPr>
        <w:t>:</w:t>
      </w:r>
    </w:p>
    <w:p w14:paraId="7F4E9258" w14:textId="77777777" w:rsidR="00E15DF3" w:rsidRPr="006E3143" w:rsidRDefault="00E15DF3" w:rsidP="00E15DF3">
      <w:pPr>
        <w:pStyle w:val="ListParagraph"/>
        <w:tabs>
          <w:tab w:val="left" w:pos="709"/>
        </w:tabs>
        <w:overflowPunct w:val="0"/>
        <w:autoSpaceDE w:val="0"/>
        <w:autoSpaceDN w:val="0"/>
        <w:adjustRightInd w:val="0"/>
        <w:ind w:left="0" w:firstLine="142"/>
        <w:jc w:val="both"/>
        <w:rPr>
          <w:i/>
          <w:sz w:val="24"/>
          <w:szCs w:val="24"/>
        </w:rPr>
      </w:pPr>
      <w:r w:rsidRPr="006E3143">
        <w:rPr>
          <w:i/>
          <w:color w:val="222222"/>
          <w:sz w:val="24"/>
          <w:szCs w:val="24"/>
        </w:rPr>
        <w:t xml:space="preserve">    „</w:t>
      </w:r>
    </w:p>
    <w:tbl>
      <w:tblPr>
        <w:tblpPr w:leftFromText="180" w:rightFromText="180" w:vertAnchor="text" w:horzAnchor="margin" w:tblpX="421" w:tblpY="89"/>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555"/>
        <w:gridCol w:w="7609"/>
        <w:gridCol w:w="236"/>
      </w:tblGrid>
      <w:tr w:rsidR="00E15DF3" w:rsidRPr="006E3143" w14:paraId="755170D3" w14:textId="77777777" w:rsidTr="00567FE5">
        <w:trPr>
          <w:trHeight w:val="456"/>
        </w:trPr>
        <w:tc>
          <w:tcPr>
            <w:tcW w:w="1555" w:type="dxa"/>
            <w:tcBorders>
              <w:bottom w:val="single" w:sz="4" w:space="0" w:color="auto"/>
              <w:right w:val="single" w:sz="4" w:space="0" w:color="auto"/>
            </w:tcBorders>
            <w:shd w:val="clear" w:color="auto" w:fill="auto"/>
          </w:tcPr>
          <w:p w14:paraId="04514736" w14:textId="77777777" w:rsidR="00E15DF3" w:rsidRPr="00345933" w:rsidRDefault="00E15DF3" w:rsidP="00567FE5">
            <w:pPr>
              <w:contextualSpacing/>
              <w:jc w:val="center"/>
              <w:rPr>
                <w:rFonts w:eastAsia="Calibri"/>
                <w:i/>
                <w:iCs/>
                <w:szCs w:val="24"/>
              </w:rPr>
            </w:pPr>
            <w:r w:rsidRPr="00345933">
              <w:rPr>
                <w:i/>
                <w:iCs/>
                <w:szCs w:val="24"/>
              </w:rPr>
              <w:t>Integrācija</w:t>
            </w:r>
          </w:p>
        </w:tc>
        <w:tc>
          <w:tcPr>
            <w:tcW w:w="7609" w:type="dxa"/>
            <w:tcBorders>
              <w:right w:val="single" w:sz="4" w:space="0" w:color="auto"/>
            </w:tcBorders>
            <w:shd w:val="clear" w:color="auto" w:fill="auto"/>
          </w:tcPr>
          <w:p w14:paraId="3D25A53B" w14:textId="77777777" w:rsidR="00E15DF3" w:rsidRPr="00366DD4" w:rsidRDefault="00E15DF3" w:rsidP="00E15DF3">
            <w:pPr>
              <w:pStyle w:val="ListParagraph"/>
              <w:numPr>
                <w:ilvl w:val="0"/>
                <w:numId w:val="3"/>
              </w:numPr>
              <w:tabs>
                <w:tab w:val="left" w:pos="321"/>
              </w:tabs>
              <w:overflowPunct w:val="0"/>
              <w:autoSpaceDE w:val="0"/>
              <w:autoSpaceDN w:val="0"/>
              <w:adjustRightInd w:val="0"/>
              <w:ind w:left="0" w:firstLine="0"/>
              <w:jc w:val="both"/>
              <w:textAlignment w:val="baseline"/>
              <w:rPr>
                <w:i/>
                <w:iCs/>
                <w:sz w:val="24"/>
                <w:szCs w:val="24"/>
              </w:rPr>
            </w:pPr>
            <w:r w:rsidRPr="00366DD4">
              <w:rPr>
                <w:i/>
                <w:iCs/>
                <w:sz w:val="24"/>
                <w:szCs w:val="24"/>
              </w:rPr>
              <w:t>Programmnodrošinājuma risinājumam jāatbilst Latvijas Republikas ministru kabineta 2015.gada 28.jūlija noteikumiem Nr.442 „Kārtība, kādā tiek nodrošināta informācijas un komunikācijas tehnoloģiju sistēmu atbilstība minimālajām drošības prasībām”. Programmnodrošinājuma prasības ir aprakstītas Tehniskās specifikācijas sadaļā: „Programmnodrošinājums” un Tehniskās specifikācijas Pielikumā Nr.2.</w:t>
            </w:r>
          </w:p>
          <w:p w14:paraId="68408E44" w14:textId="77777777" w:rsidR="00E15DF3" w:rsidRPr="00366DD4" w:rsidRDefault="00E15DF3" w:rsidP="00E15DF3">
            <w:pPr>
              <w:pStyle w:val="ListParagraph"/>
              <w:numPr>
                <w:ilvl w:val="0"/>
                <w:numId w:val="3"/>
              </w:numPr>
              <w:tabs>
                <w:tab w:val="left" w:pos="321"/>
              </w:tabs>
              <w:overflowPunct w:val="0"/>
              <w:autoSpaceDE w:val="0"/>
              <w:autoSpaceDN w:val="0"/>
              <w:adjustRightInd w:val="0"/>
              <w:ind w:left="0" w:firstLine="0"/>
              <w:jc w:val="both"/>
              <w:textAlignment w:val="baseline"/>
              <w:rPr>
                <w:i/>
                <w:iCs/>
                <w:sz w:val="24"/>
                <w:szCs w:val="24"/>
              </w:rPr>
            </w:pPr>
            <w:r w:rsidRPr="00366DD4">
              <w:rPr>
                <w:i/>
                <w:iCs/>
                <w:sz w:val="24"/>
                <w:szCs w:val="24"/>
              </w:rPr>
              <w:t>Visu programatūru nepieciešams integrēt LDZ IT infrastruktūrā.</w:t>
            </w:r>
          </w:p>
          <w:p w14:paraId="0F9EABA3" w14:textId="77777777" w:rsidR="00E15DF3" w:rsidRPr="0066486E" w:rsidRDefault="00E15DF3" w:rsidP="00E15DF3">
            <w:pPr>
              <w:pStyle w:val="ListParagraph"/>
              <w:numPr>
                <w:ilvl w:val="0"/>
                <w:numId w:val="3"/>
              </w:numPr>
              <w:tabs>
                <w:tab w:val="left" w:pos="321"/>
              </w:tabs>
              <w:overflowPunct w:val="0"/>
              <w:autoSpaceDE w:val="0"/>
              <w:autoSpaceDN w:val="0"/>
              <w:adjustRightInd w:val="0"/>
              <w:ind w:left="0" w:firstLine="0"/>
              <w:jc w:val="both"/>
              <w:textAlignment w:val="baseline"/>
              <w:rPr>
                <w:i/>
                <w:iCs/>
                <w:sz w:val="24"/>
                <w:szCs w:val="24"/>
              </w:rPr>
            </w:pPr>
            <w:r w:rsidRPr="00366DD4">
              <w:rPr>
                <w:i/>
                <w:iCs/>
                <w:sz w:val="24"/>
                <w:szCs w:val="24"/>
              </w:rPr>
              <w:t>Kameru skatā obligāti jāattēlo lokomotīvju ātrumu un parametru, vai dīzeļdzinējs ir ieslēgts.</w:t>
            </w:r>
          </w:p>
        </w:tc>
        <w:tc>
          <w:tcPr>
            <w:tcW w:w="236" w:type="dxa"/>
            <w:tcBorders>
              <w:top w:val="nil"/>
              <w:left w:val="single" w:sz="4" w:space="0" w:color="auto"/>
              <w:bottom w:val="nil"/>
              <w:right w:val="nil"/>
            </w:tcBorders>
            <w:vAlign w:val="bottom"/>
          </w:tcPr>
          <w:p w14:paraId="552B3307" w14:textId="77777777" w:rsidR="00E15DF3" w:rsidRPr="006E3143" w:rsidRDefault="00E15DF3" w:rsidP="00567FE5">
            <w:pPr>
              <w:overflowPunct w:val="0"/>
              <w:autoSpaceDE w:val="0"/>
              <w:autoSpaceDN w:val="0"/>
              <w:adjustRightInd w:val="0"/>
              <w:contextualSpacing/>
              <w:textAlignment w:val="baseline"/>
              <w:rPr>
                <w:i/>
                <w:iCs/>
              </w:rPr>
            </w:pPr>
            <w:r w:rsidRPr="006E3143">
              <w:rPr>
                <w:i/>
                <w:iCs/>
              </w:rPr>
              <w:t>”.</w:t>
            </w:r>
          </w:p>
        </w:tc>
      </w:tr>
    </w:tbl>
    <w:p w14:paraId="50625453" w14:textId="77777777" w:rsidR="00E15DF3" w:rsidRDefault="00E15DF3" w:rsidP="00E15DF3">
      <w:pPr>
        <w:spacing w:after="120"/>
        <w:contextualSpacing/>
        <w:rPr>
          <w:rFonts w:eastAsia="Calibri"/>
          <w:szCs w:val="24"/>
          <w:highlight w:val="yellow"/>
        </w:rPr>
      </w:pPr>
    </w:p>
    <w:p w14:paraId="6749CFCA" w14:textId="77777777" w:rsidR="00E15DF3" w:rsidRPr="002368A1" w:rsidRDefault="00E15DF3" w:rsidP="00E15DF3">
      <w:pPr>
        <w:pStyle w:val="ListParagraph"/>
        <w:numPr>
          <w:ilvl w:val="0"/>
          <w:numId w:val="2"/>
        </w:numPr>
        <w:ind w:left="0" w:firstLine="360"/>
        <w:jc w:val="both"/>
        <w:rPr>
          <w:sz w:val="24"/>
          <w:szCs w:val="24"/>
        </w:rPr>
      </w:pPr>
      <w:r w:rsidRPr="002368A1">
        <w:rPr>
          <w:sz w:val="24"/>
          <w:szCs w:val="24"/>
        </w:rPr>
        <w:t xml:space="preserve">Izteikt sarunu procedūras nolikuma 3.pielikuma </w:t>
      </w:r>
      <w:r w:rsidRPr="002368A1">
        <w:rPr>
          <w:color w:val="222222"/>
          <w:sz w:val="24"/>
          <w:szCs w:val="24"/>
        </w:rPr>
        <w:t>„</w:t>
      </w:r>
      <w:r w:rsidRPr="002368A1">
        <w:rPr>
          <w:sz w:val="24"/>
          <w:szCs w:val="24"/>
        </w:rPr>
        <w:t xml:space="preserve">Tehniskā specifikācija” sadaļas: </w:t>
      </w:r>
      <w:r w:rsidRPr="002368A1">
        <w:rPr>
          <w:i/>
          <w:iCs/>
          <w:sz w:val="24"/>
          <w:szCs w:val="24"/>
        </w:rPr>
        <w:t xml:space="preserve">Ieviešanas darba grafiks un realizācija </w:t>
      </w:r>
      <w:r w:rsidRPr="002368A1">
        <w:rPr>
          <w:sz w:val="24"/>
          <w:szCs w:val="24"/>
        </w:rPr>
        <w:t xml:space="preserve"> c) punkta 4.apakšpunktu šādā redakcijā:</w:t>
      </w:r>
    </w:p>
    <w:p w14:paraId="15B557D8" w14:textId="77777777" w:rsidR="00E15DF3" w:rsidRDefault="00E15DF3" w:rsidP="00E15DF3">
      <w:pPr>
        <w:pStyle w:val="ListParagraph"/>
        <w:ind w:left="360"/>
        <w:jc w:val="both"/>
        <w:rPr>
          <w:szCs w:val="24"/>
          <w:highlight w:val="yellow"/>
        </w:rPr>
      </w:pPr>
    </w:p>
    <w:p w14:paraId="68F7BCAD" w14:textId="77777777" w:rsidR="00E15DF3" w:rsidRDefault="00E15DF3" w:rsidP="00E15DF3">
      <w:pPr>
        <w:autoSpaceDE w:val="0"/>
        <w:autoSpaceDN w:val="0"/>
        <w:ind w:firstLine="360"/>
        <w:contextualSpacing/>
        <w:rPr>
          <w:bCs/>
          <w:i/>
          <w:iCs/>
        </w:rPr>
      </w:pPr>
      <w:r w:rsidRPr="002368A1">
        <w:rPr>
          <w:bCs/>
          <w:i/>
          <w:iCs/>
          <w:color w:val="222222"/>
        </w:rPr>
        <w:t>„</w:t>
      </w:r>
      <w:r>
        <w:rPr>
          <w:bCs/>
          <w:i/>
          <w:iCs/>
          <w:color w:val="222222"/>
        </w:rPr>
        <w:t xml:space="preserve">4. </w:t>
      </w:r>
      <w:r w:rsidRPr="002368A1">
        <w:rPr>
          <w:bCs/>
          <w:i/>
          <w:iCs/>
        </w:rPr>
        <w:t>Aktualizēta un iesniegta sistēmas dokumentācija (Sistēmas standarta dokumentācija, sistēmas lietotāju dokumentācija, sistēmas administratoru instrukcija, konfigurācijas apraksti, testēšanas plāns, sistēmas arhitektūras apraksts, datubāžu tabulu apraksts, u.c.). Pras</w:t>
      </w:r>
      <w:r w:rsidRPr="002368A1">
        <w:rPr>
          <w:rFonts w:ascii="TimesNewRoman" w:hAnsi="TimesNewRoman"/>
          <w:bCs/>
          <w:i/>
          <w:iCs/>
        </w:rPr>
        <w:t>ī</w:t>
      </w:r>
      <w:r w:rsidRPr="002368A1">
        <w:rPr>
          <w:bCs/>
          <w:i/>
          <w:iCs/>
        </w:rPr>
        <w:t>ba attiecas ar</w:t>
      </w:r>
      <w:r w:rsidRPr="002368A1">
        <w:rPr>
          <w:rFonts w:ascii="TimesNewRoman" w:hAnsi="TimesNewRoman"/>
          <w:bCs/>
          <w:i/>
          <w:iCs/>
        </w:rPr>
        <w:t xml:space="preserve">ī </w:t>
      </w:r>
      <w:r w:rsidRPr="002368A1">
        <w:rPr>
          <w:bCs/>
          <w:i/>
          <w:iCs/>
        </w:rPr>
        <w:t>uz garantijas pakalpojuma period</w:t>
      </w:r>
      <w:r w:rsidRPr="002368A1">
        <w:rPr>
          <w:rFonts w:ascii="TimesNewRoman" w:hAnsi="TimesNewRoman"/>
          <w:bCs/>
          <w:i/>
          <w:iCs/>
        </w:rPr>
        <w:t xml:space="preserve">ā </w:t>
      </w:r>
      <w:r w:rsidRPr="002368A1">
        <w:rPr>
          <w:bCs/>
          <w:i/>
          <w:iCs/>
        </w:rPr>
        <w:t>veikto defektu un labojumu pieg</w:t>
      </w:r>
      <w:r w:rsidRPr="002368A1">
        <w:rPr>
          <w:rFonts w:ascii="TimesNewRoman" w:hAnsi="TimesNewRoman"/>
          <w:bCs/>
          <w:i/>
          <w:iCs/>
        </w:rPr>
        <w:t>ā</w:t>
      </w:r>
      <w:r w:rsidRPr="002368A1">
        <w:rPr>
          <w:bCs/>
          <w:i/>
          <w:iCs/>
        </w:rPr>
        <w:t>d</w:t>
      </w:r>
      <w:r w:rsidRPr="002368A1">
        <w:rPr>
          <w:rFonts w:ascii="TimesNewRoman" w:hAnsi="TimesNewRoman"/>
          <w:bCs/>
          <w:i/>
          <w:iCs/>
        </w:rPr>
        <w:t>ē</w:t>
      </w:r>
      <w:r w:rsidRPr="002368A1">
        <w:rPr>
          <w:bCs/>
          <w:i/>
          <w:iCs/>
        </w:rPr>
        <w:t>m.”.</w:t>
      </w:r>
    </w:p>
    <w:p w14:paraId="030E366E" w14:textId="77777777" w:rsidR="00E15DF3" w:rsidRDefault="00E15DF3" w:rsidP="00E15DF3">
      <w:pPr>
        <w:autoSpaceDE w:val="0"/>
        <w:autoSpaceDN w:val="0"/>
        <w:contextualSpacing/>
        <w:rPr>
          <w:bCs/>
          <w:i/>
          <w:iCs/>
        </w:rPr>
      </w:pPr>
    </w:p>
    <w:p w14:paraId="534ADDEC" w14:textId="77777777" w:rsidR="00E15DF3" w:rsidRPr="002368A1" w:rsidRDefault="00E15DF3" w:rsidP="00E15DF3">
      <w:pPr>
        <w:pStyle w:val="ListParagraph"/>
        <w:numPr>
          <w:ilvl w:val="0"/>
          <w:numId w:val="2"/>
        </w:numPr>
        <w:ind w:left="0" w:firstLine="360"/>
        <w:jc w:val="both"/>
        <w:rPr>
          <w:sz w:val="24"/>
          <w:szCs w:val="24"/>
        </w:rPr>
      </w:pPr>
      <w:r w:rsidRPr="002368A1">
        <w:rPr>
          <w:sz w:val="24"/>
          <w:szCs w:val="24"/>
        </w:rPr>
        <w:t xml:space="preserve">Izteikt sarunu procedūras nolikuma 3.pielikuma </w:t>
      </w:r>
      <w:r w:rsidRPr="002368A1">
        <w:rPr>
          <w:color w:val="222222"/>
          <w:sz w:val="24"/>
          <w:szCs w:val="24"/>
        </w:rPr>
        <w:t>„</w:t>
      </w:r>
      <w:r w:rsidRPr="002368A1">
        <w:rPr>
          <w:sz w:val="24"/>
          <w:szCs w:val="24"/>
        </w:rPr>
        <w:t xml:space="preserve">Tehniskā specifikācija” </w:t>
      </w:r>
      <w:r>
        <w:rPr>
          <w:sz w:val="24"/>
          <w:szCs w:val="24"/>
        </w:rPr>
        <w:t xml:space="preserve">Pielikuma Nr.2 11.punktu </w:t>
      </w:r>
      <w:r w:rsidRPr="002368A1">
        <w:rPr>
          <w:sz w:val="24"/>
          <w:szCs w:val="24"/>
        </w:rPr>
        <w:t>šādā redakcijā:</w:t>
      </w:r>
    </w:p>
    <w:p w14:paraId="7A3076E8" w14:textId="77777777" w:rsidR="00E15DF3" w:rsidRPr="005378EC" w:rsidRDefault="00E15DF3" w:rsidP="00E15DF3">
      <w:pPr>
        <w:pStyle w:val="ListParagraph"/>
        <w:ind w:left="360"/>
        <w:jc w:val="both"/>
        <w:rPr>
          <w:i/>
          <w:iCs/>
          <w:szCs w:val="24"/>
          <w:highlight w:val="yellow"/>
        </w:rPr>
      </w:pPr>
    </w:p>
    <w:p w14:paraId="304EA0C3" w14:textId="56B6C8B4" w:rsidR="00E15DF3" w:rsidRDefault="00E15DF3" w:rsidP="00E15DF3">
      <w:pPr>
        <w:ind w:firstLine="284"/>
        <w:rPr>
          <w:bCs/>
          <w:i/>
          <w:iCs/>
        </w:rPr>
      </w:pPr>
      <w:r w:rsidRPr="005378EC">
        <w:rPr>
          <w:bCs/>
          <w:i/>
          <w:iCs/>
          <w:color w:val="222222"/>
        </w:rPr>
        <w:t xml:space="preserve">„11. </w:t>
      </w:r>
      <w:bookmarkStart w:id="0" w:name="_Hlk46837257"/>
      <w:r w:rsidRPr="005378EC">
        <w:rPr>
          <w:i/>
          <w:iCs/>
        </w:rPr>
        <w:t>Piedāvātā programmnodrošinājuma platformai (gan operētājsistēmai, gan da</w:t>
      </w:r>
      <w:r w:rsidR="004A0671">
        <w:rPr>
          <w:i/>
          <w:iCs/>
        </w:rPr>
        <w:t>t</w:t>
      </w:r>
      <w:r w:rsidRPr="005378EC">
        <w:rPr>
          <w:i/>
          <w:iCs/>
        </w:rPr>
        <w:t>u bāzes vadības sistēmai)</w:t>
      </w:r>
      <w:r w:rsidR="00C15F38">
        <w:rPr>
          <w:i/>
          <w:iCs/>
        </w:rPr>
        <w:t xml:space="preserve"> </w:t>
      </w:r>
      <w:r w:rsidR="00C15F38" w:rsidRPr="005C7534">
        <w:rPr>
          <w:i/>
          <w:iCs/>
          <w:szCs w:val="24"/>
        </w:rPr>
        <w:t>vēlams būt</w:t>
      </w:r>
      <w:r w:rsidR="00C15F38" w:rsidRPr="005C7534">
        <w:rPr>
          <w:i/>
          <w:iCs/>
        </w:rPr>
        <w:t xml:space="preserve"> veidotai izmantojot Microsoft Corporation</w:t>
      </w:r>
      <w:r w:rsidRPr="005378EC">
        <w:rPr>
          <w:i/>
          <w:iCs/>
        </w:rPr>
        <w:t>, vai atvē</w:t>
      </w:r>
      <w:bookmarkStart w:id="1" w:name="_GoBack"/>
      <w:bookmarkEnd w:id="1"/>
      <w:r w:rsidRPr="005378EC">
        <w:rPr>
          <w:i/>
          <w:iCs/>
        </w:rPr>
        <w:t>rtā koda tehnoloģijās, kurām ir pieejams tehniskais atbalsts</w:t>
      </w:r>
      <w:bookmarkEnd w:id="0"/>
      <w:r w:rsidRPr="005378EC">
        <w:rPr>
          <w:bCs/>
          <w:i/>
          <w:iCs/>
        </w:rPr>
        <w:t>.”.</w:t>
      </w:r>
    </w:p>
    <w:p w14:paraId="537A23B1" w14:textId="77777777" w:rsidR="00E15DF3" w:rsidRPr="00807285" w:rsidRDefault="00E15DF3" w:rsidP="00E15DF3">
      <w:pPr>
        <w:ind w:firstLine="284"/>
        <w:rPr>
          <w:i/>
          <w:iCs/>
          <w:szCs w:val="24"/>
        </w:rPr>
      </w:pPr>
    </w:p>
    <w:p w14:paraId="0FB828C0" w14:textId="77777777" w:rsidR="00E15DF3" w:rsidRPr="00807285" w:rsidRDefault="00E15DF3" w:rsidP="00E15DF3">
      <w:pPr>
        <w:pStyle w:val="ListParagraph"/>
        <w:numPr>
          <w:ilvl w:val="0"/>
          <w:numId w:val="2"/>
        </w:numPr>
        <w:ind w:left="0" w:firstLine="360"/>
        <w:jc w:val="both"/>
        <w:rPr>
          <w:sz w:val="24"/>
          <w:szCs w:val="24"/>
        </w:rPr>
      </w:pPr>
      <w:r w:rsidRPr="00807285">
        <w:rPr>
          <w:sz w:val="24"/>
          <w:szCs w:val="24"/>
        </w:rPr>
        <w:t xml:space="preserve">Papildināt sarunu procedūras nolikuma 2.pielikuma „Pieteikums dalībai sarunu procedūrā ar publikāciju” FINANŠU PIEDĀVĀJUMA sadaļu: </w:t>
      </w:r>
      <w:r w:rsidRPr="00807285">
        <w:rPr>
          <w:i/>
          <w:iCs/>
          <w:sz w:val="24"/>
          <w:szCs w:val="24"/>
        </w:rPr>
        <w:t xml:space="preserve">Piedāvājuma kopējā summa EUR (bez PVN) </w:t>
      </w:r>
      <w:r w:rsidRPr="00807285">
        <w:rPr>
          <w:sz w:val="24"/>
          <w:szCs w:val="24"/>
        </w:rPr>
        <w:t>ar papildus apakšatsauci šādā redakcijā:</w:t>
      </w:r>
    </w:p>
    <w:p w14:paraId="2700135C" w14:textId="77777777" w:rsidR="00E15DF3" w:rsidRPr="00807285" w:rsidRDefault="00E15DF3" w:rsidP="00E15DF3">
      <w:pPr>
        <w:pStyle w:val="ListParagraph"/>
        <w:ind w:left="360"/>
        <w:jc w:val="both"/>
        <w:rPr>
          <w:i/>
          <w:iCs/>
          <w:sz w:val="24"/>
          <w:szCs w:val="24"/>
          <w:highlight w:val="yellow"/>
        </w:rPr>
      </w:pPr>
    </w:p>
    <w:p w14:paraId="48F38072" w14:textId="77777777" w:rsidR="00E15DF3" w:rsidRPr="00807285" w:rsidRDefault="00E15DF3" w:rsidP="00E15DF3">
      <w:pPr>
        <w:rPr>
          <w:i/>
          <w:iCs/>
          <w:szCs w:val="24"/>
          <w:u w:val="single"/>
        </w:rPr>
      </w:pPr>
      <w:r w:rsidRPr="00807285">
        <w:rPr>
          <w:bCs/>
          <w:i/>
          <w:iCs/>
          <w:szCs w:val="24"/>
        </w:rPr>
        <w:t>„</w:t>
      </w:r>
      <w:r w:rsidRPr="00807285">
        <w:rPr>
          <w:i/>
          <w:iCs/>
          <w:szCs w:val="24"/>
          <w:vertAlign w:val="superscript"/>
        </w:rPr>
        <w:t>****</w:t>
      </w:r>
      <w:r w:rsidRPr="00807285">
        <w:rPr>
          <w:i/>
          <w:iCs/>
          <w:szCs w:val="24"/>
        </w:rPr>
        <w:t xml:space="preserve">Piedāvājuma kopējā summā jābūt iekļautām arī izmaksām saistībā ar integrējamo programmatūru, </w:t>
      </w:r>
      <w:r w:rsidRPr="00807285">
        <w:rPr>
          <w:i/>
          <w:iCs/>
          <w:szCs w:val="24"/>
          <w:u w:val="single"/>
        </w:rPr>
        <w:t>kas ietver neierobežota termiņa licences, kurām nav nepaciešams veikt ikgadēju licenču atjaunošanas maksu.</w:t>
      </w:r>
      <w:r w:rsidRPr="00807285">
        <w:rPr>
          <w:bCs/>
          <w:i/>
          <w:iCs/>
          <w:szCs w:val="24"/>
        </w:rPr>
        <w:t>”.</w:t>
      </w:r>
    </w:p>
    <w:p w14:paraId="40936EF4" w14:textId="77777777" w:rsidR="00E15DF3" w:rsidRPr="000B3A4A" w:rsidRDefault="00E15DF3" w:rsidP="00E15DF3">
      <w:pPr>
        <w:autoSpaceDE w:val="0"/>
        <w:autoSpaceDN w:val="0"/>
        <w:ind w:firstLine="360"/>
        <w:contextualSpacing/>
        <w:rPr>
          <w:bCs/>
          <w:i/>
          <w:iCs/>
        </w:rPr>
      </w:pPr>
    </w:p>
    <w:p w14:paraId="731462CD" w14:textId="77777777" w:rsidR="00E15DF3" w:rsidRPr="00AB3F75" w:rsidRDefault="00E15DF3" w:rsidP="00E15DF3">
      <w:pPr>
        <w:pStyle w:val="ListParagraph"/>
        <w:numPr>
          <w:ilvl w:val="0"/>
          <w:numId w:val="1"/>
        </w:numPr>
        <w:spacing w:after="120"/>
        <w:ind w:left="284" w:firstLine="142"/>
        <w:jc w:val="both"/>
        <w:rPr>
          <w:vanish/>
          <w:sz w:val="24"/>
          <w:szCs w:val="24"/>
          <w:highlight w:val="yellow"/>
          <w:lang w:eastAsia="en-US"/>
        </w:rPr>
      </w:pPr>
    </w:p>
    <w:p w14:paraId="701F3C58" w14:textId="77777777" w:rsidR="00E15DF3" w:rsidRPr="00AB3F75" w:rsidRDefault="00E15DF3" w:rsidP="00E15DF3">
      <w:pPr>
        <w:pStyle w:val="ListParagraph"/>
        <w:numPr>
          <w:ilvl w:val="0"/>
          <w:numId w:val="1"/>
        </w:numPr>
        <w:spacing w:after="120"/>
        <w:ind w:left="284" w:firstLine="142"/>
        <w:jc w:val="both"/>
        <w:rPr>
          <w:vanish/>
          <w:sz w:val="24"/>
          <w:szCs w:val="24"/>
          <w:highlight w:val="yellow"/>
          <w:lang w:eastAsia="en-US"/>
        </w:rPr>
      </w:pPr>
    </w:p>
    <w:p w14:paraId="795AEF21" w14:textId="77777777" w:rsidR="00E15DF3" w:rsidRPr="00AB3F75" w:rsidRDefault="00E15DF3" w:rsidP="00E15DF3">
      <w:pPr>
        <w:pStyle w:val="ListParagraph"/>
        <w:numPr>
          <w:ilvl w:val="0"/>
          <w:numId w:val="1"/>
        </w:numPr>
        <w:spacing w:after="120"/>
        <w:ind w:left="284" w:firstLine="142"/>
        <w:jc w:val="both"/>
        <w:rPr>
          <w:vanish/>
          <w:sz w:val="24"/>
          <w:szCs w:val="24"/>
          <w:highlight w:val="yellow"/>
          <w:lang w:eastAsia="en-US"/>
        </w:rPr>
      </w:pPr>
    </w:p>
    <w:p w14:paraId="3094CC3C" w14:textId="77777777" w:rsidR="00E15DF3" w:rsidRPr="00AB3F75" w:rsidRDefault="00E15DF3" w:rsidP="00E15DF3">
      <w:pPr>
        <w:pStyle w:val="ListParagraph"/>
        <w:numPr>
          <w:ilvl w:val="0"/>
          <w:numId w:val="1"/>
        </w:numPr>
        <w:spacing w:after="120"/>
        <w:ind w:left="284" w:firstLine="142"/>
        <w:jc w:val="both"/>
        <w:rPr>
          <w:vanish/>
          <w:sz w:val="24"/>
          <w:szCs w:val="24"/>
          <w:highlight w:val="yellow"/>
          <w:lang w:eastAsia="en-US"/>
        </w:rPr>
      </w:pPr>
    </w:p>
    <w:p w14:paraId="576BEE64" w14:textId="77777777" w:rsidR="00E15DF3" w:rsidRPr="00AB3F75" w:rsidRDefault="00E15DF3" w:rsidP="00E15DF3">
      <w:pPr>
        <w:numPr>
          <w:ilvl w:val="0"/>
          <w:numId w:val="1"/>
        </w:numPr>
        <w:spacing w:after="120"/>
        <w:ind w:left="284" w:firstLine="142"/>
        <w:contextualSpacing/>
        <w:rPr>
          <w:rFonts w:eastAsia="Calibri"/>
          <w:szCs w:val="24"/>
        </w:rPr>
      </w:pPr>
      <w:r w:rsidRPr="00AB3F75">
        <w:rPr>
          <w:rFonts w:eastAsia="Calibri"/>
          <w:szCs w:val="24"/>
        </w:rPr>
        <w:t xml:space="preserve">Izteikt sarunu procedūras nolikuma 1.4.1.punktu šādā redakcijā: </w:t>
      </w:r>
    </w:p>
    <w:p w14:paraId="62A54EF0" w14:textId="73FB9F3C" w:rsidR="00E15DF3" w:rsidRPr="00AB3F75" w:rsidRDefault="00E15DF3" w:rsidP="00E15DF3">
      <w:pPr>
        <w:ind w:firstLine="426"/>
        <w:rPr>
          <w:i/>
          <w:iCs/>
          <w:szCs w:val="24"/>
        </w:rPr>
      </w:pPr>
      <w:r w:rsidRPr="00AB3F75">
        <w:rPr>
          <w:i/>
          <w:iCs/>
          <w:color w:val="222222"/>
          <w:szCs w:val="24"/>
        </w:rPr>
        <w:t>„</w:t>
      </w:r>
      <w:r w:rsidRPr="00AB3F75">
        <w:rPr>
          <w:i/>
          <w:iCs/>
          <w:szCs w:val="24"/>
        </w:rPr>
        <w:t xml:space="preserve">1.4.1. </w:t>
      </w:r>
      <w:r w:rsidRPr="00AB3F75">
        <w:rPr>
          <w:i/>
          <w:iCs/>
        </w:rPr>
        <w:t xml:space="preserve">piedāvājumu sarunu procedūrai iesniedz līdz </w:t>
      </w:r>
      <w:r w:rsidRPr="00AB3F75">
        <w:rPr>
          <w:b/>
          <w:i/>
          <w:iCs/>
        </w:rPr>
        <w:t xml:space="preserve">2020.gada </w:t>
      </w:r>
      <w:r w:rsidR="00E43A44" w:rsidRPr="00E43A44">
        <w:rPr>
          <w:b/>
          <w:i/>
          <w:iCs/>
          <w:color w:val="FF0000"/>
        </w:rPr>
        <w:t>1</w:t>
      </w:r>
      <w:r w:rsidRPr="00E43A44">
        <w:rPr>
          <w:b/>
          <w:i/>
          <w:iCs/>
          <w:color w:val="FF0000"/>
        </w:rPr>
        <w:t>4.augustam</w:t>
      </w:r>
      <w:r w:rsidRPr="00AB3F75">
        <w:rPr>
          <w:b/>
          <w:i/>
          <w:iCs/>
        </w:rPr>
        <w:t>, plkst. 09.30,</w:t>
      </w:r>
      <w:r w:rsidRPr="00AB3F75">
        <w:rPr>
          <w:i/>
          <w:iCs/>
        </w:rPr>
        <w:t xml:space="preserve"> Latvijā, Rīgā, Gogoļa ielā 3, 1.stāvā, 103.telpā (VAS „Latvijas dzelzceļš” Kancelejā). Piedāvājumu iesniedz personīgi, ar kurjera starpniecību vai ierakstītā vēstulē;”.</w:t>
      </w:r>
    </w:p>
    <w:p w14:paraId="7AD23A81" w14:textId="77777777" w:rsidR="00E15DF3" w:rsidRPr="00AB3F75" w:rsidRDefault="00E15DF3" w:rsidP="00E15DF3">
      <w:pPr>
        <w:spacing w:after="120"/>
        <w:contextualSpacing/>
        <w:rPr>
          <w:szCs w:val="24"/>
        </w:rPr>
      </w:pPr>
    </w:p>
    <w:p w14:paraId="6E1B6796" w14:textId="77777777" w:rsidR="00E15DF3" w:rsidRPr="00AB3F75" w:rsidRDefault="00E15DF3" w:rsidP="00E15DF3">
      <w:pPr>
        <w:numPr>
          <w:ilvl w:val="0"/>
          <w:numId w:val="1"/>
        </w:numPr>
        <w:ind w:left="284" w:firstLine="142"/>
        <w:contextualSpacing/>
        <w:rPr>
          <w:rFonts w:eastAsia="Calibri"/>
          <w:szCs w:val="24"/>
        </w:rPr>
      </w:pPr>
      <w:r w:rsidRPr="00AB3F75">
        <w:rPr>
          <w:rFonts w:eastAsia="Calibri"/>
          <w:szCs w:val="24"/>
        </w:rPr>
        <w:t xml:space="preserve">Izteikt sarunu procedūras nolikuma 1.4.2.punktu šādā redakcijā: </w:t>
      </w:r>
    </w:p>
    <w:p w14:paraId="2C61E818" w14:textId="1718AA4C" w:rsidR="00E15DF3" w:rsidRPr="00AB3F75" w:rsidRDefault="00E15DF3" w:rsidP="00E15DF3">
      <w:pPr>
        <w:ind w:firstLine="426"/>
        <w:rPr>
          <w:i/>
          <w:iCs/>
        </w:rPr>
      </w:pPr>
      <w:r w:rsidRPr="00AB3F75">
        <w:rPr>
          <w:i/>
          <w:iCs/>
          <w:color w:val="222222"/>
          <w:szCs w:val="24"/>
        </w:rPr>
        <w:t>„</w:t>
      </w:r>
      <w:r w:rsidRPr="00AB3F75">
        <w:rPr>
          <w:i/>
          <w:iCs/>
        </w:rPr>
        <w:t xml:space="preserve">1.4.2. piedāvājumu sarunu procedūrai atver </w:t>
      </w:r>
      <w:r w:rsidRPr="00AB3F75">
        <w:rPr>
          <w:b/>
          <w:i/>
          <w:iCs/>
        </w:rPr>
        <w:t xml:space="preserve">2020.gada </w:t>
      </w:r>
      <w:r w:rsidR="00E43A44" w:rsidRPr="00E43A44">
        <w:rPr>
          <w:b/>
          <w:i/>
          <w:iCs/>
          <w:color w:val="FF0000"/>
        </w:rPr>
        <w:t>1</w:t>
      </w:r>
      <w:r w:rsidRPr="00E43A44">
        <w:rPr>
          <w:b/>
          <w:i/>
          <w:iCs/>
          <w:color w:val="FF0000"/>
        </w:rPr>
        <w:t>4.augustā</w:t>
      </w:r>
      <w:r w:rsidRPr="00AB3F75">
        <w:rPr>
          <w:b/>
          <w:i/>
          <w:iCs/>
        </w:rPr>
        <w:t>, plkst. 10.00</w:t>
      </w:r>
      <w:r w:rsidRPr="00AB3F75">
        <w:rPr>
          <w:i/>
          <w:iCs/>
        </w:rPr>
        <w:t>, Latvijā, Rīgā, Gogoļa ielā 3, 3.stāvā, 339.kabinetā;”.</w:t>
      </w:r>
    </w:p>
    <w:p w14:paraId="4311AB46" w14:textId="77777777" w:rsidR="00E15DF3" w:rsidRPr="00AB3F75" w:rsidRDefault="00E15DF3" w:rsidP="00E15DF3">
      <w:pPr>
        <w:pStyle w:val="ListParagraph"/>
        <w:ind w:left="284" w:hanging="284"/>
        <w:jc w:val="both"/>
        <w:rPr>
          <w:sz w:val="24"/>
          <w:szCs w:val="24"/>
        </w:rPr>
      </w:pPr>
    </w:p>
    <w:p w14:paraId="17E46C02" w14:textId="77777777" w:rsidR="00E15DF3" w:rsidRPr="00AB3F75" w:rsidRDefault="00E15DF3" w:rsidP="00E15DF3">
      <w:pPr>
        <w:pStyle w:val="ListParagraph"/>
        <w:numPr>
          <w:ilvl w:val="0"/>
          <w:numId w:val="1"/>
        </w:numPr>
        <w:ind w:left="284" w:firstLine="142"/>
        <w:jc w:val="both"/>
        <w:rPr>
          <w:sz w:val="24"/>
          <w:szCs w:val="24"/>
        </w:rPr>
      </w:pPr>
      <w:r w:rsidRPr="00AB3F75">
        <w:rPr>
          <w:sz w:val="24"/>
          <w:szCs w:val="24"/>
        </w:rPr>
        <w:t xml:space="preserve">Izteikt sarunu procedūras nolikuma 1.7.1.punktu šādā redakcijā: </w:t>
      </w:r>
    </w:p>
    <w:p w14:paraId="31103875" w14:textId="2849F5DC" w:rsidR="00E15DF3" w:rsidRPr="00AB3F75" w:rsidRDefault="00E15DF3" w:rsidP="00E15DF3">
      <w:pPr>
        <w:tabs>
          <w:tab w:val="left" w:pos="567"/>
        </w:tabs>
        <w:ind w:firstLine="426"/>
        <w:rPr>
          <w:i/>
          <w:iCs/>
        </w:rPr>
      </w:pPr>
      <w:r w:rsidRPr="00AB3F75">
        <w:rPr>
          <w:i/>
          <w:iCs/>
          <w:color w:val="222222"/>
          <w:szCs w:val="24"/>
        </w:rPr>
        <w:t>„</w:t>
      </w:r>
      <w:r w:rsidRPr="00AB3F75">
        <w:rPr>
          <w:i/>
          <w:iCs/>
        </w:rPr>
        <w:t xml:space="preserve">1.7.1. piedāvājumu iesniedz slēgtā (aizlīmētā) iepakojumā (aploksnē), kurā ievieto piedāvājuma oriģināla un kopijas eksemplāru, uz tā norāda: </w:t>
      </w:r>
      <w:r w:rsidRPr="00AB3F75">
        <w:rPr>
          <w:i/>
          <w:iCs/>
          <w:lang w:eastAsia="lv-LV"/>
        </w:rPr>
        <w:t>„</w:t>
      </w:r>
      <w:r w:rsidRPr="00AB3F75">
        <w:rPr>
          <w:i/>
          <w:iCs/>
        </w:rPr>
        <w:t>Piedāvājums sarunu procedūrai ar publikāciju</w:t>
      </w:r>
      <w:r w:rsidRPr="00AB3F75">
        <w:rPr>
          <w:i/>
          <w:iCs/>
          <w:color w:val="FF0000"/>
        </w:rPr>
        <w:t xml:space="preserve"> </w:t>
      </w:r>
      <w:r w:rsidRPr="00AB3F75">
        <w:rPr>
          <w:i/>
          <w:iCs/>
          <w:color w:val="222222"/>
        </w:rPr>
        <w:t>„</w:t>
      </w:r>
      <w:r w:rsidRPr="00AB3F75">
        <w:rPr>
          <w:i/>
          <w:iCs/>
        </w:rPr>
        <w:t>Lokomotīvju videonovērošanas sistēmu (LVNS) piegāde un uzstādīšana SIA „LDZ CARGO” vajadzībām”</w:t>
      </w:r>
      <w:r w:rsidRPr="00AB3F75">
        <w:rPr>
          <w:i/>
          <w:iCs/>
          <w:spacing w:val="-2"/>
        </w:rPr>
        <w:t xml:space="preserve">. Neatvērt līdz </w:t>
      </w:r>
      <w:r w:rsidRPr="00AB3F75">
        <w:rPr>
          <w:i/>
          <w:iCs/>
        </w:rPr>
        <w:t xml:space="preserve">2020.gada </w:t>
      </w:r>
      <w:r w:rsidR="00E43A44" w:rsidRPr="00E43A44">
        <w:rPr>
          <w:i/>
          <w:iCs/>
          <w:color w:val="FF0000"/>
        </w:rPr>
        <w:t>1</w:t>
      </w:r>
      <w:r w:rsidRPr="00E43A44">
        <w:rPr>
          <w:i/>
          <w:iCs/>
          <w:color w:val="FF0000"/>
        </w:rPr>
        <w:t>4.augustam</w:t>
      </w:r>
      <w:r w:rsidRPr="00AB3F75">
        <w:rPr>
          <w:i/>
          <w:iCs/>
        </w:rPr>
        <w:t>, plkst. 10.00</w:t>
      </w:r>
      <w:r w:rsidRPr="00AB3F75">
        <w:rPr>
          <w:i/>
          <w:iCs/>
          <w:spacing w:val="-2"/>
        </w:rPr>
        <w:t xml:space="preserve">” </w:t>
      </w:r>
      <w:r w:rsidRPr="00AB3F75">
        <w:rPr>
          <w:i/>
          <w:iCs/>
        </w:rPr>
        <w:t xml:space="preserve">un adresē: VAS </w:t>
      </w:r>
      <w:r w:rsidRPr="00AB3F75">
        <w:rPr>
          <w:i/>
          <w:iCs/>
          <w:lang w:eastAsia="lv-LV"/>
        </w:rPr>
        <w:t>„</w:t>
      </w:r>
      <w:r w:rsidRPr="00AB3F75">
        <w:rPr>
          <w:i/>
          <w:iCs/>
        </w:rPr>
        <w:t xml:space="preserve">Latvijas dzelzceļš” Iepirkumu birojam, Gogoļa ielā 3, Rīgā, Latvijā, LV-1547. </w:t>
      </w:r>
      <w:r w:rsidRPr="00AB3F75">
        <w:rPr>
          <w:i/>
          <w:iCs/>
          <w:u w:val="single"/>
        </w:rPr>
        <w:t>Uz piedāvājuma iepakojuma (aploksnes) norāda arī pretendenta nosaukumu, adresi un tālruņa numuru</w:t>
      </w:r>
      <w:r w:rsidRPr="00AB3F75">
        <w:rPr>
          <w:i/>
          <w:iCs/>
        </w:rPr>
        <w:t>;”.</w:t>
      </w:r>
    </w:p>
    <w:p w14:paraId="5652AF07" w14:textId="77777777" w:rsidR="00E15DF3" w:rsidRPr="00F667BE" w:rsidRDefault="00E15DF3" w:rsidP="00E15DF3">
      <w:pPr>
        <w:rPr>
          <w:i/>
          <w:szCs w:val="24"/>
          <w:highlight w:val="yellow"/>
        </w:rPr>
      </w:pPr>
    </w:p>
    <w:p w14:paraId="3D11872B" w14:textId="77777777" w:rsidR="00E15DF3" w:rsidRDefault="00E15DF3" w:rsidP="00E15DF3">
      <w:pPr>
        <w:rPr>
          <w:rFonts w:ascii="Arial" w:hAnsi="Arial" w:cs="Arial"/>
        </w:rPr>
      </w:pPr>
    </w:p>
    <w:p w14:paraId="647B5E7A" w14:textId="77777777" w:rsidR="00E15DF3" w:rsidRPr="00C20434" w:rsidRDefault="00E15DF3">
      <w:pPr>
        <w:rPr>
          <w:rFonts w:ascii="Arial" w:hAnsi="Arial" w:cs="Arial"/>
        </w:rPr>
      </w:pPr>
    </w:p>
    <w:sectPr w:rsidR="00E15DF3" w:rsidRPr="00C20434" w:rsidSect="00E15DF3">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93B56"/>
    <w:multiLevelType w:val="hybridMultilevel"/>
    <w:tmpl w:val="27D21568"/>
    <w:lvl w:ilvl="0" w:tplc="0BF889CE">
      <w:start w:val="1"/>
      <w:numFmt w:val="lowerLetter"/>
      <w:lvlText w:val="%1)"/>
      <w:lvlJc w:val="left"/>
      <w:pPr>
        <w:ind w:left="785" w:hanging="360"/>
      </w:pPr>
      <w:rPr>
        <w:rFonts w:eastAsia="Times New Roman" w:hint="default"/>
        <w:sz w:val="21"/>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4AEB4CF5"/>
    <w:multiLevelType w:val="hybridMultilevel"/>
    <w:tmpl w:val="27AA30F6"/>
    <w:lvl w:ilvl="0" w:tplc="AB9CFDCC">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C85C5D"/>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F3"/>
    <w:rsid w:val="003204EA"/>
    <w:rsid w:val="004A0671"/>
    <w:rsid w:val="008C4589"/>
    <w:rsid w:val="0098236C"/>
    <w:rsid w:val="00C15F38"/>
    <w:rsid w:val="00C20434"/>
    <w:rsid w:val="00E15DF3"/>
    <w:rsid w:val="00E43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CFD3"/>
  <w15:chartTrackingRefBased/>
  <w15:docId w15:val="{D9199F7B-CF9D-4697-ADB0-7F0EEBC5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F3"/>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E15DF3"/>
    <w:pPr>
      <w:ind w:left="720"/>
      <w:contextualSpacing/>
      <w:jc w:val="left"/>
    </w:pPr>
    <w:rPr>
      <w:rFonts w:eastAsia="Calibri"/>
      <w:sz w:val="20"/>
      <w:szCs w:val="20"/>
      <w:lang w:eastAsia="lv-LV"/>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E15DF3"/>
    <w:rPr>
      <w:rFonts w:ascii="Times New Roman" w:eastAsia="Calibri" w:hAnsi="Times New Roman" w:cs="Times New Roman"/>
      <w:sz w:val="20"/>
      <w:szCs w:val="20"/>
      <w:lang w:eastAsia="lv-LV"/>
    </w:rPr>
  </w:style>
  <w:style w:type="paragraph" w:styleId="BalloonText">
    <w:name w:val="Balloon Text"/>
    <w:basedOn w:val="Normal"/>
    <w:link w:val="BalloonTextChar"/>
    <w:uiPriority w:val="99"/>
    <w:semiHidden/>
    <w:unhideWhenUsed/>
    <w:rsid w:val="00C15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2154</Words>
  <Characters>1228</Characters>
  <Application>Microsoft Office Word</Application>
  <DocSecurity>0</DocSecurity>
  <Lines>10</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5</cp:revision>
  <dcterms:created xsi:type="dcterms:W3CDTF">2020-07-28T12:02:00Z</dcterms:created>
  <dcterms:modified xsi:type="dcterms:W3CDTF">2020-07-29T07:31:00Z</dcterms:modified>
</cp:coreProperties>
</file>