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52C" w:rsidRPr="00622302" w:rsidRDefault="00B8752C" w:rsidP="00B8752C">
      <w:pPr>
        <w:tabs>
          <w:tab w:val="left" w:pos="3760"/>
        </w:tabs>
        <w:spacing w:after="0" w:line="240" w:lineRule="auto"/>
        <w:ind w:left="-284" w:right="-625" w:firstLine="4395"/>
        <w:jc w:val="right"/>
        <w:rPr>
          <w:rFonts w:ascii="Times New Roman" w:eastAsia="Calibri" w:hAnsi="Times New Roman" w:cs="Times New Roman"/>
          <w:i/>
          <w:sz w:val="24"/>
          <w:szCs w:val="24"/>
          <w:lang w:eastAsia="lv-LV"/>
        </w:rPr>
      </w:pPr>
      <w:r w:rsidRPr="00622302">
        <w:rPr>
          <w:rFonts w:ascii="Times New Roman" w:eastAsia="Calibri" w:hAnsi="Times New Roman" w:cs="Times New Roman"/>
          <w:i/>
          <w:sz w:val="24"/>
          <w:szCs w:val="24"/>
          <w:lang w:eastAsia="lv-LV"/>
        </w:rPr>
        <w:t>APSTIPRINĀTS:</w:t>
      </w:r>
    </w:p>
    <w:p w:rsidR="00B8752C" w:rsidRPr="00622302" w:rsidRDefault="00B8752C" w:rsidP="00B8752C">
      <w:pPr>
        <w:tabs>
          <w:tab w:val="left" w:pos="3760"/>
        </w:tabs>
        <w:spacing w:after="0" w:line="240" w:lineRule="auto"/>
        <w:ind w:right="-625"/>
        <w:jc w:val="right"/>
        <w:rPr>
          <w:rFonts w:ascii="Times New Roman" w:eastAsia="Calibri" w:hAnsi="Times New Roman" w:cs="Times New Roman"/>
          <w:i/>
          <w:sz w:val="24"/>
          <w:szCs w:val="24"/>
          <w:lang w:eastAsia="lv-LV"/>
        </w:rPr>
      </w:pPr>
      <w:r w:rsidRPr="00622302">
        <w:rPr>
          <w:rFonts w:ascii="Times New Roman" w:eastAsia="Calibri" w:hAnsi="Times New Roman" w:cs="Times New Roman"/>
          <w:i/>
          <w:sz w:val="24"/>
          <w:szCs w:val="24"/>
          <w:lang w:eastAsia="lv-LV"/>
        </w:rPr>
        <w:t xml:space="preserve">ar iepirkuma </w:t>
      </w:r>
      <w:r w:rsidRPr="00671793">
        <w:rPr>
          <w:rFonts w:ascii="Times New Roman" w:eastAsia="Calibri" w:hAnsi="Times New Roman" w:cs="Times New Roman"/>
          <w:i/>
          <w:sz w:val="24"/>
          <w:szCs w:val="24"/>
          <w:lang w:eastAsia="lv-LV"/>
        </w:rPr>
        <w:t xml:space="preserve">komisijas </w:t>
      </w:r>
      <w:r w:rsidRPr="00671793">
        <w:rPr>
          <w:rFonts w:ascii="Times New Roman" w:eastAsia="Arial Unicode MS" w:hAnsi="Times New Roman" w:cs="Times New Roman"/>
          <w:i/>
          <w:sz w:val="24"/>
          <w:szCs w:val="24"/>
          <w:lang w:eastAsia="lv-LV"/>
        </w:rPr>
        <w:t>20</w:t>
      </w:r>
      <w:r>
        <w:rPr>
          <w:rFonts w:ascii="Times New Roman" w:eastAsia="Arial Unicode MS" w:hAnsi="Times New Roman" w:cs="Times New Roman"/>
          <w:i/>
          <w:sz w:val="24"/>
          <w:szCs w:val="24"/>
          <w:lang w:eastAsia="lv-LV"/>
        </w:rPr>
        <w:t>20</w:t>
      </w:r>
      <w:r w:rsidRPr="00671793">
        <w:rPr>
          <w:rFonts w:ascii="Times New Roman" w:eastAsia="Arial Unicode MS" w:hAnsi="Times New Roman" w:cs="Times New Roman"/>
          <w:i/>
          <w:sz w:val="24"/>
          <w:szCs w:val="24"/>
          <w:lang w:eastAsia="lv-LV"/>
        </w:rPr>
        <w:t xml:space="preserve">.gada </w:t>
      </w:r>
      <w:r>
        <w:rPr>
          <w:rFonts w:ascii="Times New Roman" w:eastAsia="Arial Unicode MS" w:hAnsi="Times New Roman" w:cs="Times New Roman"/>
          <w:i/>
          <w:sz w:val="24"/>
          <w:szCs w:val="24"/>
          <w:lang w:eastAsia="lv-LV"/>
        </w:rPr>
        <w:t>22</w:t>
      </w:r>
      <w:r w:rsidRPr="00671793">
        <w:rPr>
          <w:rFonts w:ascii="Times New Roman" w:eastAsia="Arial Unicode MS" w:hAnsi="Times New Roman" w:cs="Times New Roman"/>
          <w:i/>
          <w:sz w:val="24"/>
          <w:szCs w:val="24"/>
          <w:lang w:eastAsia="lv-LV"/>
        </w:rPr>
        <w:t>.</w:t>
      </w:r>
      <w:r>
        <w:rPr>
          <w:rFonts w:ascii="Times New Roman" w:eastAsia="Arial Unicode MS" w:hAnsi="Times New Roman" w:cs="Times New Roman"/>
          <w:i/>
          <w:sz w:val="24"/>
          <w:szCs w:val="24"/>
          <w:lang w:eastAsia="lv-LV"/>
        </w:rPr>
        <w:t>aprīļ</w:t>
      </w:r>
      <w:r w:rsidRPr="00671793">
        <w:rPr>
          <w:rFonts w:ascii="Times New Roman" w:eastAsia="Arial Unicode MS" w:hAnsi="Times New Roman" w:cs="Times New Roman"/>
          <w:i/>
          <w:sz w:val="24"/>
          <w:szCs w:val="24"/>
          <w:lang w:eastAsia="lv-LV"/>
        </w:rPr>
        <w:t>a</w:t>
      </w:r>
      <w:r w:rsidRPr="00622302">
        <w:rPr>
          <w:rFonts w:ascii="Times New Roman" w:eastAsia="Arial Unicode MS" w:hAnsi="Times New Roman" w:cs="Times New Roman"/>
          <w:i/>
          <w:sz w:val="24"/>
          <w:szCs w:val="24"/>
          <w:lang w:eastAsia="lv-LV"/>
        </w:rPr>
        <w:t xml:space="preserve"> </w:t>
      </w:r>
    </w:p>
    <w:p w:rsidR="00B8752C" w:rsidRDefault="00B8752C" w:rsidP="00B8752C">
      <w:pPr>
        <w:tabs>
          <w:tab w:val="left" w:pos="3760"/>
        </w:tabs>
        <w:spacing w:after="0" w:line="240" w:lineRule="auto"/>
        <w:ind w:left="-284" w:right="-625" w:firstLine="4395"/>
        <w:jc w:val="right"/>
        <w:rPr>
          <w:rFonts w:ascii="Times New Roman" w:eastAsia="Arial Unicode MS" w:hAnsi="Times New Roman" w:cs="Times New Roman"/>
          <w:i/>
          <w:sz w:val="24"/>
          <w:szCs w:val="24"/>
          <w:lang w:eastAsia="lv-LV"/>
        </w:rPr>
      </w:pPr>
      <w:r w:rsidRPr="00622302">
        <w:rPr>
          <w:rFonts w:ascii="Times New Roman" w:eastAsia="Arial Unicode MS" w:hAnsi="Times New Roman" w:cs="Times New Roman"/>
          <w:i/>
          <w:sz w:val="24"/>
          <w:szCs w:val="24"/>
          <w:lang w:eastAsia="lv-LV"/>
        </w:rPr>
        <w:t>sēdes protokolu Nr.2</w:t>
      </w:r>
    </w:p>
    <w:p w:rsidR="00B8752C" w:rsidRDefault="00B8752C">
      <w:pPr>
        <w:rPr>
          <w:rFonts w:ascii="Arial" w:hAnsi="Arial" w:cs="Arial"/>
        </w:rPr>
      </w:pPr>
    </w:p>
    <w:p w:rsidR="00B8752C" w:rsidRDefault="00B8752C">
      <w:pPr>
        <w:rPr>
          <w:rFonts w:ascii="Arial" w:hAnsi="Arial" w:cs="Arial"/>
        </w:rPr>
      </w:pPr>
    </w:p>
    <w:p w:rsidR="00B8752C" w:rsidRPr="00B8752C" w:rsidRDefault="00B8752C" w:rsidP="00B8752C">
      <w:pPr>
        <w:spacing w:after="0" w:line="240" w:lineRule="auto"/>
        <w:contextualSpacing/>
        <w:jc w:val="center"/>
        <w:rPr>
          <w:rFonts w:ascii="Times New Roman" w:hAnsi="Times New Roman" w:cs="Times New Roman"/>
          <w:b/>
          <w:sz w:val="24"/>
          <w:szCs w:val="24"/>
        </w:rPr>
      </w:pPr>
      <w:r w:rsidRPr="00B8752C">
        <w:rPr>
          <w:rFonts w:ascii="Times New Roman" w:hAnsi="Times New Roman" w:cs="Times New Roman"/>
          <w:b/>
          <w:sz w:val="24"/>
          <w:szCs w:val="24"/>
        </w:rPr>
        <w:t>VAS </w:t>
      </w:r>
      <w:r w:rsidRPr="00B8752C">
        <w:rPr>
          <w:rFonts w:ascii="Times New Roman" w:hAnsi="Times New Roman" w:cs="Times New Roman"/>
          <w:b/>
          <w:color w:val="222222"/>
          <w:sz w:val="24"/>
          <w:szCs w:val="24"/>
        </w:rPr>
        <w:t>„</w:t>
      </w:r>
      <w:r w:rsidRPr="00B8752C">
        <w:rPr>
          <w:rFonts w:ascii="Times New Roman" w:hAnsi="Times New Roman" w:cs="Times New Roman"/>
          <w:b/>
          <w:sz w:val="24"/>
          <w:szCs w:val="24"/>
        </w:rPr>
        <w:t xml:space="preserve">Latvijas dzelzceļš” </w:t>
      </w:r>
    </w:p>
    <w:p w:rsidR="00B8752C" w:rsidRPr="00B8752C" w:rsidRDefault="00B8752C" w:rsidP="00B8752C">
      <w:pPr>
        <w:spacing w:after="0" w:line="240" w:lineRule="auto"/>
        <w:ind w:left="142" w:right="-1"/>
        <w:contextualSpacing/>
        <w:jc w:val="center"/>
        <w:rPr>
          <w:rFonts w:ascii="Times New Roman" w:hAnsi="Times New Roman" w:cs="Times New Roman"/>
          <w:b/>
          <w:sz w:val="24"/>
          <w:szCs w:val="24"/>
        </w:rPr>
      </w:pPr>
      <w:r w:rsidRPr="00B8752C">
        <w:rPr>
          <w:rFonts w:ascii="Times New Roman" w:hAnsi="Times New Roman" w:cs="Times New Roman"/>
          <w:b/>
          <w:sz w:val="24"/>
          <w:szCs w:val="24"/>
        </w:rPr>
        <w:t>sarunu procedūras ar publikāciju</w:t>
      </w:r>
    </w:p>
    <w:p w:rsidR="00B8752C" w:rsidRPr="00B8752C" w:rsidRDefault="00B8752C" w:rsidP="00B8752C">
      <w:pPr>
        <w:spacing w:after="0" w:line="240" w:lineRule="auto"/>
        <w:contextualSpacing/>
        <w:jc w:val="center"/>
        <w:rPr>
          <w:rFonts w:ascii="Times New Roman" w:hAnsi="Times New Roman" w:cs="Times New Roman"/>
          <w:b/>
          <w:bCs/>
          <w:sz w:val="24"/>
          <w:szCs w:val="24"/>
        </w:rPr>
      </w:pPr>
      <w:r w:rsidRPr="00B8752C">
        <w:rPr>
          <w:rFonts w:ascii="Times New Roman" w:hAnsi="Times New Roman" w:cs="Times New Roman"/>
          <w:b/>
          <w:bCs/>
          <w:color w:val="222222"/>
          <w:sz w:val="24"/>
          <w:szCs w:val="24"/>
        </w:rPr>
        <w:t>„</w:t>
      </w:r>
      <w:r w:rsidRPr="00B8752C">
        <w:rPr>
          <w:rFonts w:ascii="Times New Roman" w:hAnsi="Times New Roman" w:cs="Times New Roman"/>
          <w:b/>
          <w:bCs/>
          <w:sz w:val="24"/>
          <w:szCs w:val="24"/>
        </w:rPr>
        <w:t>Autoceļu seguma atjaunošana un satiksmes organizēšana</w:t>
      </w:r>
    </w:p>
    <w:p w:rsidR="00B8752C" w:rsidRPr="00B8752C" w:rsidRDefault="00B8752C" w:rsidP="00B8752C">
      <w:pPr>
        <w:spacing w:after="0" w:line="240" w:lineRule="auto"/>
        <w:ind w:left="142" w:right="-1"/>
        <w:contextualSpacing/>
        <w:jc w:val="center"/>
        <w:rPr>
          <w:rFonts w:ascii="Times New Roman" w:hAnsi="Times New Roman" w:cs="Times New Roman"/>
          <w:b/>
          <w:bCs/>
          <w:sz w:val="24"/>
          <w:szCs w:val="24"/>
        </w:rPr>
      </w:pPr>
      <w:r w:rsidRPr="00B8752C">
        <w:rPr>
          <w:rFonts w:ascii="Times New Roman" w:hAnsi="Times New Roman" w:cs="Times New Roman"/>
          <w:b/>
          <w:bCs/>
          <w:sz w:val="24"/>
          <w:szCs w:val="24"/>
        </w:rPr>
        <w:t>uz dzelzceļa pārbrauktuvēm remontdarbu laikā”</w:t>
      </w:r>
    </w:p>
    <w:p w:rsidR="00B8752C" w:rsidRPr="00B8752C" w:rsidRDefault="00B8752C" w:rsidP="00B8752C">
      <w:pPr>
        <w:spacing w:after="0" w:line="240" w:lineRule="auto"/>
        <w:contextualSpacing/>
        <w:jc w:val="center"/>
        <w:rPr>
          <w:rFonts w:ascii="Times New Roman" w:eastAsia="Calibri" w:hAnsi="Times New Roman" w:cs="Times New Roman"/>
          <w:sz w:val="24"/>
          <w:szCs w:val="24"/>
        </w:rPr>
      </w:pPr>
      <w:r w:rsidRPr="00B8752C">
        <w:rPr>
          <w:rFonts w:ascii="Times New Roman" w:eastAsia="Calibri" w:hAnsi="Times New Roman" w:cs="Times New Roman"/>
          <w:sz w:val="24"/>
          <w:szCs w:val="24"/>
        </w:rPr>
        <w:t xml:space="preserve"> (turpmāk – sarunu procedūra)</w:t>
      </w:r>
    </w:p>
    <w:p w:rsidR="00B8752C" w:rsidRPr="00B8752C" w:rsidRDefault="00B8752C" w:rsidP="00B8752C">
      <w:pPr>
        <w:spacing w:after="0" w:line="240" w:lineRule="auto"/>
        <w:contextualSpacing/>
        <w:jc w:val="center"/>
        <w:rPr>
          <w:rFonts w:ascii="Times New Roman" w:eastAsia="Calibri" w:hAnsi="Times New Roman" w:cs="Times New Roman"/>
          <w:sz w:val="24"/>
          <w:szCs w:val="24"/>
        </w:rPr>
      </w:pPr>
    </w:p>
    <w:p w:rsidR="00B8752C" w:rsidRPr="00B8752C" w:rsidRDefault="00B8752C" w:rsidP="00B8752C">
      <w:pPr>
        <w:spacing w:after="0" w:line="240" w:lineRule="auto"/>
        <w:contextualSpacing/>
        <w:jc w:val="center"/>
        <w:rPr>
          <w:rFonts w:ascii="Times New Roman" w:eastAsia="Calibri" w:hAnsi="Times New Roman" w:cs="Times New Roman"/>
          <w:b/>
          <w:bCs/>
          <w:sz w:val="24"/>
          <w:szCs w:val="24"/>
        </w:rPr>
      </w:pPr>
      <w:r w:rsidRPr="00B8752C">
        <w:rPr>
          <w:rFonts w:ascii="Times New Roman" w:eastAsia="Calibri" w:hAnsi="Times New Roman" w:cs="Times New Roman"/>
          <w:b/>
          <w:bCs/>
          <w:sz w:val="24"/>
          <w:szCs w:val="24"/>
        </w:rPr>
        <w:t>Grozījumi Nr.1</w:t>
      </w:r>
    </w:p>
    <w:p w:rsidR="00B8752C" w:rsidRPr="00B8752C" w:rsidRDefault="00B8752C" w:rsidP="00B8752C">
      <w:pPr>
        <w:spacing w:after="0" w:line="240" w:lineRule="auto"/>
        <w:ind w:right="-625"/>
        <w:contextualSpacing/>
        <w:rPr>
          <w:rFonts w:ascii="Times New Roman" w:eastAsia="Calibri" w:hAnsi="Times New Roman" w:cs="Times New Roman"/>
          <w:sz w:val="24"/>
          <w:szCs w:val="24"/>
        </w:rPr>
      </w:pPr>
    </w:p>
    <w:p w:rsidR="00B8752C" w:rsidRPr="00B8752C" w:rsidRDefault="00B8752C" w:rsidP="00B8752C">
      <w:pPr>
        <w:pStyle w:val="ListParagraph"/>
        <w:numPr>
          <w:ilvl w:val="0"/>
          <w:numId w:val="1"/>
        </w:numPr>
        <w:ind w:left="0" w:right="-625" w:firstLine="360"/>
        <w:jc w:val="both"/>
        <w:rPr>
          <w:sz w:val="24"/>
          <w:szCs w:val="24"/>
        </w:rPr>
      </w:pPr>
      <w:r w:rsidRPr="00B8752C">
        <w:rPr>
          <w:sz w:val="24"/>
          <w:szCs w:val="24"/>
        </w:rPr>
        <w:t>Papildināt sarunu procedūras nolikuma 1.pielikumu ar 4.8. un 1.9.18.punktu šādā redakcijā:</w:t>
      </w:r>
    </w:p>
    <w:p w:rsidR="00B8752C" w:rsidRPr="00B8752C" w:rsidRDefault="00B8752C" w:rsidP="00B8752C">
      <w:pPr>
        <w:pStyle w:val="ListParagraph"/>
        <w:tabs>
          <w:tab w:val="left" w:pos="709"/>
        </w:tabs>
        <w:overflowPunct w:val="0"/>
        <w:autoSpaceDE w:val="0"/>
        <w:autoSpaceDN w:val="0"/>
        <w:adjustRightInd w:val="0"/>
        <w:ind w:left="0" w:right="-625"/>
        <w:jc w:val="both"/>
        <w:rPr>
          <w:i/>
          <w:sz w:val="24"/>
          <w:szCs w:val="24"/>
        </w:rPr>
      </w:pPr>
      <w:r w:rsidRPr="00B8752C">
        <w:rPr>
          <w:i/>
          <w:color w:val="222222"/>
          <w:sz w:val="24"/>
          <w:szCs w:val="24"/>
        </w:rPr>
        <w:tab/>
        <w:t>„</w:t>
      </w:r>
    </w:p>
    <w:tbl>
      <w:tblPr>
        <w:tblpPr w:leftFromText="180" w:rightFromText="180" w:vertAnchor="text" w:horzAnchor="margin" w:tblpY="8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3114"/>
      </w:tblGrid>
      <w:tr w:rsidR="00B8752C" w:rsidRPr="00B8752C" w:rsidTr="00B8752C">
        <w:trPr>
          <w:trHeight w:val="604"/>
        </w:trPr>
        <w:tc>
          <w:tcPr>
            <w:tcW w:w="993" w:type="dxa"/>
            <w:tcBorders>
              <w:bottom w:val="single" w:sz="4" w:space="0" w:color="auto"/>
            </w:tcBorders>
            <w:shd w:val="clear" w:color="auto" w:fill="auto"/>
          </w:tcPr>
          <w:p w:rsidR="00B8752C" w:rsidRPr="00B8752C" w:rsidRDefault="00B8752C" w:rsidP="00B8752C">
            <w:pPr>
              <w:overflowPunct w:val="0"/>
              <w:autoSpaceDE w:val="0"/>
              <w:autoSpaceDN w:val="0"/>
              <w:adjustRightInd w:val="0"/>
              <w:spacing w:after="0" w:line="240" w:lineRule="auto"/>
              <w:ind w:right="-625"/>
              <w:contextualSpacing/>
              <w:jc w:val="both"/>
              <w:textAlignment w:val="baseline"/>
              <w:rPr>
                <w:rFonts w:ascii="Times New Roman" w:hAnsi="Times New Roman" w:cs="Times New Roman"/>
                <w:i/>
                <w:iCs/>
                <w:sz w:val="24"/>
                <w:szCs w:val="24"/>
              </w:rPr>
            </w:pPr>
            <w:r w:rsidRPr="00B8752C">
              <w:rPr>
                <w:rFonts w:ascii="Times New Roman" w:hAnsi="Times New Roman" w:cs="Times New Roman"/>
                <w:i/>
                <w:iCs/>
                <w:sz w:val="24"/>
                <w:szCs w:val="24"/>
              </w:rPr>
              <w:t>4.8.</w:t>
            </w:r>
          </w:p>
        </w:tc>
        <w:tc>
          <w:tcPr>
            <w:tcW w:w="3544" w:type="dxa"/>
            <w:tcBorders>
              <w:bottom w:val="single" w:sz="4" w:space="0" w:color="auto"/>
              <w:right w:val="single" w:sz="4" w:space="0" w:color="auto"/>
            </w:tcBorders>
            <w:shd w:val="clear" w:color="auto" w:fill="auto"/>
          </w:tcPr>
          <w:p w:rsidR="00B8752C" w:rsidRPr="00B8752C" w:rsidRDefault="00B8752C" w:rsidP="00B8752C">
            <w:pPr>
              <w:spacing w:after="0" w:line="240" w:lineRule="auto"/>
              <w:ind w:right="-625"/>
              <w:contextualSpacing/>
              <w:jc w:val="both"/>
              <w:rPr>
                <w:rFonts w:ascii="Times New Roman" w:eastAsia="Calibri" w:hAnsi="Times New Roman" w:cs="Times New Roman"/>
                <w:i/>
                <w:iCs/>
                <w:sz w:val="24"/>
                <w:szCs w:val="24"/>
              </w:rPr>
            </w:pPr>
            <w:r w:rsidRPr="00B8752C">
              <w:rPr>
                <w:rFonts w:ascii="Times New Roman" w:hAnsi="Times New Roman" w:cs="Times New Roman"/>
                <w:i/>
                <w:iCs/>
                <w:sz w:val="24"/>
                <w:szCs w:val="24"/>
              </w:rPr>
              <w:t xml:space="preserve">pretendenta darbība ir atzīta par </w:t>
            </w:r>
            <w:r w:rsidRPr="00B8752C">
              <w:rPr>
                <w:rFonts w:ascii="Times New Roman" w:hAnsi="Times New Roman" w:cs="Times New Roman"/>
                <w:i/>
                <w:iCs/>
                <w:color w:val="000000"/>
                <w:sz w:val="24"/>
                <w:szCs w:val="24"/>
              </w:rPr>
              <w:t xml:space="preserve">drošu darbu veikšanai dzelzceļa nozarē un </w:t>
            </w:r>
            <w:r w:rsidRPr="00B8752C">
              <w:rPr>
                <w:rFonts w:ascii="Times New Roman" w:hAnsi="Times New Roman" w:cs="Times New Roman"/>
                <w:i/>
                <w:iCs/>
                <w:sz w:val="24"/>
                <w:szCs w:val="24"/>
              </w:rPr>
              <w:t>pretendentam ir izsniegta spēkā esoša Valsts dzelzceļa tehniskās inspekcijas izdota Drošības apliecība (atbilstoši veicamajam darbu apjomam spēkā esoša Drošības apliecība nepieciešama arī apakšuzņēmējam, ja tāds tiek piesaistīts).</w:t>
            </w:r>
          </w:p>
        </w:tc>
        <w:tc>
          <w:tcPr>
            <w:tcW w:w="283" w:type="dxa"/>
            <w:tcBorders>
              <w:right w:val="single" w:sz="4" w:space="0" w:color="auto"/>
            </w:tcBorders>
            <w:shd w:val="clear" w:color="auto" w:fill="auto"/>
          </w:tcPr>
          <w:p w:rsidR="00B8752C" w:rsidRPr="00B8752C" w:rsidRDefault="00B8752C" w:rsidP="00B8752C">
            <w:pPr>
              <w:overflowPunct w:val="0"/>
              <w:autoSpaceDE w:val="0"/>
              <w:autoSpaceDN w:val="0"/>
              <w:adjustRightInd w:val="0"/>
              <w:spacing w:after="0" w:line="240" w:lineRule="auto"/>
              <w:ind w:right="-625"/>
              <w:contextualSpacing/>
              <w:jc w:val="both"/>
              <w:textAlignment w:val="baseline"/>
              <w:rPr>
                <w:rFonts w:ascii="Times New Roman" w:hAnsi="Times New Roman" w:cs="Times New Roman"/>
                <w:b/>
                <w:i/>
                <w:iCs/>
                <w:sz w:val="24"/>
                <w:szCs w:val="24"/>
                <w:lang w:eastAsia="lv-LV"/>
              </w:rPr>
            </w:pPr>
          </w:p>
        </w:tc>
        <w:tc>
          <w:tcPr>
            <w:tcW w:w="992" w:type="dxa"/>
            <w:tcBorders>
              <w:left w:val="single" w:sz="4" w:space="0" w:color="auto"/>
              <w:right w:val="single" w:sz="4" w:space="0" w:color="auto"/>
            </w:tcBorders>
            <w:shd w:val="clear" w:color="auto" w:fill="auto"/>
          </w:tcPr>
          <w:p w:rsidR="00B8752C" w:rsidRPr="00B8752C" w:rsidRDefault="00B8752C" w:rsidP="00B8752C">
            <w:pPr>
              <w:overflowPunct w:val="0"/>
              <w:autoSpaceDE w:val="0"/>
              <w:autoSpaceDN w:val="0"/>
              <w:adjustRightInd w:val="0"/>
              <w:spacing w:after="0" w:line="240" w:lineRule="auto"/>
              <w:ind w:right="-625"/>
              <w:contextualSpacing/>
              <w:jc w:val="both"/>
              <w:textAlignment w:val="baseline"/>
              <w:rPr>
                <w:rFonts w:ascii="Times New Roman" w:hAnsi="Times New Roman" w:cs="Times New Roman"/>
                <w:i/>
                <w:iCs/>
                <w:sz w:val="24"/>
                <w:szCs w:val="24"/>
                <w:lang w:eastAsia="lv-LV"/>
              </w:rPr>
            </w:pPr>
            <w:r w:rsidRPr="00B8752C">
              <w:rPr>
                <w:rFonts w:ascii="Times New Roman" w:hAnsi="Times New Roman" w:cs="Times New Roman"/>
                <w:i/>
                <w:iCs/>
                <w:sz w:val="24"/>
                <w:szCs w:val="24"/>
                <w:lang w:eastAsia="lv-LV"/>
              </w:rPr>
              <w:t>1.9.18.</w:t>
            </w:r>
          </w:p>
        </w:tc>
        <w:tc>
          <w:tcPr>
            <w:tcW w:w="3114" w:type="dxa"/>
            <w:tcBorders>
              <w:left w:val="single" w:sz="4" w:space="0" w:color="auto"/>
              <w:bottom w:val="single" w:sz="4" w:space="0" w:color="auto"/>
            </w:tcBorders>
            <w:shd w:val="clear" w:color="auto" w:fill="auto"/>
          </w:tcPr>
          <w:p w:rsidR="00B8752C" w:rsidRPr="00B8752C" w:rsidRDefault="00B8752C" w:rsidP="00B8752C">
            <w:pPr>
              <w:overflowPunct w:val="0"/>
              <w:autoSpaceDE w:val="0"/>
              <w:autoSpaceDN w:val="0"/>
              <w:adjustRightInd w:val="0"/>
              <w:spacing w:after="0" w:line="240" w:lineRule="auto"/>
              <w:ind w:right="-625"/>
              <w:contextualSpacing/>
              <w:jc w:val="both"/>
              <w:textAlignment w:val="baseline"/>
              <w:rPr>
                <w:rFonts w:ascii="Times New Roman" w:hAnsi="Times New Roman" w:cs="Times New Roman"/>
                <w:i/>
                <w:iCs/>
                <w:sz w:val="24"/>
                <w:szCs w:val="24"/>
                <w:lang w:eastAsia="lv-LV"/>
              </w:rPr>
            </w:pPr>
            <w:r w:rsidRPr="00B8752C">
              <w:rPr>
                <w:rFonts w:ascii="Times New Roman" w:hAnsi="Times New Roman" w:cs="Times New Roman"/>
                <w:i/>
                <w:iCs/>
                <w:sz w:val="24"/>
                <w:szCs w:val="24"/>
                <w:lang w:eastAsia="lv-LV"/>
              </w:rPr>
              <w:t>pārbauda pasūtītājs.</w:t>
            </w:r>
          </w:p>
        </w:tc>
      </w:tr>
    </w:tbl>
    <w:p w:rsidR="00B8752C" w:rsidRPr="00B8752C" w:rsidRDefault="00B8752C" w:rsidP="00B8752C">
      <w:pPr>
        <w:spacing w:after="0" w:line="240" w:lineRule="auto"/>
        <w:ind w:right="-625"/>
        <w:contextualSpacing/>
        <w:jc w:val="both"/>
        <w:rPr>
          <w:rFonts w:ascii="Times New Roman" w:eastAsia="Calibri" w:hAnsi="Times New Roman" w:cs="Times New Roman"/>
          <w:sz w:val="24"/>
          <w:szCs w:val="24"/>
        </w:rPr>
      </w:pPr>
      <w:r w:rsidRPr="00B8752C">
        <w:rPr>
          <w:rFonts w:ascii="Times New Roman" w:hAnsi="Times New Roman" w:cs="Times New Roman"/>
          <w:i/>
          <w:sz w:val="24"/>
          <w:szCs w:val="24"/>
        </w:rPr>
        <w:t>”.</w:t>
      </w:r>
    </w:p>
    <w:p w:rsidR="00B8752C" w:rsidRPr="00B8752C" w:rsidRDefault="00B8752C" w:rsidP="00B8752C">
      <w:pPr>
        <w:pStyle w:val="ListParagraph"/>
        <w:numPr>
          <w:ilvl w:val="0"/>
          <w:numId w:val="1"/>
        </w:numPr>
        <w:ind w:left="0" w:right="-625" w:firstLine="360"/>
        <w:jc w:val="both"/>
        <w:rPr>
          <w:sz w:val="24"/>
          <w:szCs w:val="24"/>
        </w:rPr>
      </w:pPr>
      <w:r w:rsidRPr="00B8752C">
        <w:rPr>
          <w:sz w:val="24"/>
          <w:szCs w:val="24"/>
        </w:rPr>
        <w:t>Papildināt sarunu procedūras nolikuma 2.pielikumu ar 20.punktu šādā redakcijā:</w:t>
      </w:r>
    </w:p>
    <w:p w:rsidR="00B8752C" w:rsidRPr="00B8752C" w:rsidRDefault="00B8752C" w:rsidP="00B8752C">
      <w:pPr>
        <w:spacing w:after="0" w:line="240" w:lineRule="auto"/>
        <w:ind w:right="-625" w:firstLine="360"/>
        <w:contextualSpacing/>
        <w:jc w:val="both"/>
        <w:rPr>
          <w:rFonts w:ascii="Times New Roman" w:hAnsi="Times New Roman" w:cs="Times New Roman"/>
          <w:i/>
          <w:iCs/>
          <w:sz w:val="24"/>
          <w:szCs w:val="24"/>
        </w:rPr>
      </w:pPr>
      <w:r w:rsidRPr="00B8752C">
        <w:rPr>
          <w:rFonts w:ascii="Times New Roman" w:hAnsi="Times New Roman" w:cs="Times New Roman"/>
          <w:i/>
          <w:iCs/>
          <w:color w:val="222222"/>
          <w:sz w:val="24"/>
          <w:szCs w:val="24"/>
        </w:rPr>
        <w:t>„</w:t>
      </w:r>
      <w:r w:rsidRPr="00B8752C">
        <w:rPr>
          <w:rFonts w:ascii="Times New Roman" w:hAnsi="Times New Roman" w:cs="Times New Roman"/>
          <w:b/>
          <w:bCs/>
          <w:i/>
          <w:iCs/>
          <w:sz w:val="24"/>
          <w:szCs w:val="24"/>
        </w:rPr>
        <w:t>20.</w:t>
      </w:r>
      <w:r w:rsidRPr="00B8752C">
        <w:rPr>
          <w:rFonts w:ascii="Times New Roman" w:hAnsi="Times New Roman" w:cs="Times New Roman"/>
          <w:i/>
          <w:iCs/>
          <w:sz w:val="24"/>
          <w:szCs w:val="24"/>
        </w:rPr>
        <w:t xml:space="preserve"> garantē, ka pretendenta darbība ir atzīta par drošu darbu veikšanai dzelzceļa nozarē un pretendentam ir izsniegta Valsts dzelzceļa tehniskās inspekcijas izdota spēkā esoša Drošības apliecība </w:t>
      </w:r>
      <w:r w:rsidRPr="00B8752C">
        <w:rPr>
          <w:rFonts w:ascii="Times New Roman" w:hAnsi="Times New Roman" w:cs="Times New Roman"/>
          <w:b/>
          <w:bCs/>
          <w:i/>
          <w:iCs/>
          <w:sz w:val="24"/>
          <w:szCs w:val="24"/>
        </w:rPr>
        <w:t>Nr._____</w:t>
      </w:r>
      <w:r w:rsidRPr="00B8752C">
        <w:rPr>
          <w:rFonts w:ascii="Times New Roman" w:hAnsi="Times New Roman" w:cs="Times New Roman"/>
          <w:b/>
          <w:bCs/>
          <w:i/>
          <w:iCs/>
          <w:sz w:val="24"/>
          <w:szCs w:val="24"/>
        </w:rPr>
        <w:softHyphen/>
        <w:t>_</w:t>
      </w:r>
      <w:r w:rsidRPr="00B8752C">
        <w:rPr>
          <w:rFonts w:ascii="Times New Roman" w:hAnsi="Times New Roman" w:cs="Times New Roman"/>
          <w:i/>
          <w:iCs/>
          <w:sz w:val="24"/>
          <w:szCs w:val="24"/>
        </w:rPr>
        <w:t xml:space="preserve"> (aizpilda pretendents), kas apliecina, ka pretendents savu ko</w:t>
      </w:r>
      <w:r w:rsidRPr="00B8752C">
        <w:rPr>
          <w:rFonts w:ascii="Times New Roman" w:hAnsi="Times New Roman" w:cs="Times New Roman"/>
          <w:bCs/>
          <w:i/>
          <w:iCs/>
          <w:sz w:val="24"/>
          <w:szCs w:val="24"/>
        </w:rPr>
        <w:t>mercdarbību spēj realizēt saskaņā ar dzelzceļa nozares drošības prasībām</w:t>
      </w:r>
      <w:r w:rsidRPr="00B8752C">
        <w:rPr>
          <w:rFonts w:ascii="Times New Roman" w:hAnsi="Times New Roman" w:cs="Times New Roman"/>
          <w:i/>
          <w:iCs/>
          <w:sz w:val="24"/>
          <w:szCs w:val="24"/>
        </w:rPr>
        <w:t xml:space="preserve"> (atbilstoši veicamajam darbu apjomam spēkā esoša Drošības apliecība nepieciešama arī apakšuzņēmējam, ja tāds tiek piesaistīts);”.</w:t>
      </w:r>
    </w:p>
    <w:p w:rsidR="00B8752C" w:rsidRPr="00B8752C" w:rsidRDefault="00B8752C" w:rsidP="00B8752C">
      <w:pPr>
        <w:spacing w:after="0" w:line="240" w:lineRule="auto"/>
        <w:ind w:right="-625" w:firstLine="284"/>
        <w:contextualSpacing/>
        <w:jc w:val="both"/>
        <w:rPr>
          <w:rFonts w:ascii="Times New Roman" w:hAnsi="Times New Roman" w:cs="Times New Roman"/>
          <w:i/>
          <w:sz w:val="24"/>
          <w:szCs w:val="24"/>
          <w:highlight w:val="yellow"/>
        </w:rPr>
      </w:pPr>
    </w:p>
    <w:p w:rsidR="00B8752C" w:rsidRPr="00B8752C" w:rsidRDefault="00B8752C" w:rsidP="00B8752C">
      <w:pPr>
        <w:pStyle w:val="ListParagraph"/>
        <w:numPr>
          <w:ilvl w:val="0"/>
          <w:numId w:val="1"/>
        </w:numPr>
        <w:ind w:left="0" w:right="-625" w:firstLine="360"/>
        <w:jc w:val="both"/>
        <w:rPr>
          <w:sz w:val="24"/>
          <w:szCs w:val="24"/>
        </w:rPr>
      </w:pPr>
      <w:r w:rsidRPr="00B8752C">
        <w:rPr>
          <w:sz w:val="24"/>
          <w:szCs w:val="24"/>
        </w:rPr>
        <w:t>Papildināt sarunu procedūras nolikuma 2.pielikumu ar 21.punktu šādā redakcijā:</w:t>
      </w:r>
    </w:p>
    <w:p w:rsidR="00B8752C" w:rsidRPr="00B8752C" w:rsidRDefault="00B8752C" w:rsidP="00B8752C">
      <w:pPr>
        <w:tabs>
          <w:tab w:val="left" w:pos="426"/>
        </w:tabs>
        <w:spacing w:after="0" w:line="240" w:lineRule="auto"/>
        <w:ind w:right="-625" w:firstLine="426"/>
        <w:contextualSpacing/>
        <w:jc w:val="both"/>
        <w:rPr>
          <w:rFonts w:ascii="Times New Roman" w:hAnsi="Times New Roman" w:cs="Times New Roman"/>
          <w:i/>
          <w:iCs/>
          <w:sz w:val="24"/>
          <w:szCs w:val="24"/>
        </w:rPr>
      </w:pPr>
      <w:r w:rsidRPr="00B8752C">
        <w:rPr>
          <w:rFonts w:ascii="Times New Roman" w:hAnsi="Times New Roman" w:cs="Times New Roman"/>
          <w:i/>
          <w:iCs/>
          <w:color w:val="222222"/>
          <w:sz w:val="24"/>
          <w:szCs w:val="24"/>
        </w:rPr>
        <w:t>„</w:t>
      </w:r>
      <w:r w:rsidRPr="00B8752C">
        <w:rPr>
          <w:rFonts w:ascii="Times New Roman" w:hAnsi="Times New Roman" w:cs="Times New Roman"/>
          <w:b/>
          <w:bCs/>
          <w:i/>
          <w:iCs/>
          <w:sz w:val="24"/>
          <w:szCs w:val="24"/>
        </w:rPr>
        <w:t>21.</w:t>
      </w:r>
      <w:r w:rsidRPr="00B8752C">
        <w:rPr>
          <w:rFonts w:ascii="Times New Roman" w:hAnsi="Times New Roman" w:cs="Times New Roman"/>
          <w:i/>
          <w:iCs/>
          <w:sz w:val="24"/>
          <w:szCs w:val="24"/>
        </w:rPr>
        <w:t xml:space="preserve"> apliecina, ka ir informēts, ka gadījumā, ja Valsts dzelzceļa tehniskā inspekcija </w:t>
      </w:r>
      <w:r w:rsidRPr="00B8752C">
        <w:rPr>
          <w:rFonts w:ascii="Times New Roman" w:hAnsi="Times New Roman" w:cs="Times New Roman"/>
          <w:bCs/>
          <w:i/>
          <w:iCs/>
          <w:sz w:val="24"/>
          <w:szCs w:val="24"/>
        </w:rPr>
        <w:t>būs apturējusi/nebūs pagarinājusi izsniegtās Drošības apliecības termiņu</w:t>
      </w:r>
      <w:r w:rsidRPr="00B8752C">
        <w:rPr>
          <w:rFonts w:ascii="Times New Roman" w:hAnsi="Times New Roman" w:cs="Times New Roman"/>
          <w:i/>
          <w:iCs/>
          <w:sz w:val="24"/>
          <w:szCs w:val="24"/>
        </w:rPr>
        <w:t xml:space="preserve"> piedāvājuma derīguma termiņa laikā (šī prasība attiecināma arī uz apakšuzņēmēju, ja tāds tiek piesaistīts), pretendenta piedāvājums var tikt noraidīts vai līguma slēgšanas tiesību piešķiršanas gadījumā pasūtītājs var atteikties slēgt iepirkuma līgumu.”.</w:t>
      </w:r>
    </w:p>
    <w:p w:rsidR="00B8752C" w:rsidRDefault="00B8752C" w:rsidP="00B8752C">
      <w:pPr>
        <w:ind w:firstLine="284"/>
        <w:rPr>
          <w:i/>
          <w:szCs w:val="24"/>
          <w:highlight w:val="yellow"/>
        </w:rPr>
      </w:pPr>
    </w:p>
    <w:p w:rsidR="00B8752C" w:rsidRDefault="00B8752C" w:rsidP="00B8752C">
      <w:pPr>
        <w:ind w:firstLine="284"/>
        <w:rPr>
          <w:i/>
          <w:szCs w:val="24"/>
          <w:highlight w:val="yellow"/>
        </w:rPr>
      </w:pPr>
    </w:p>
    <w:p w:rsidR="00B8752C" w:rsidRPr="00C20434" w:rsidRDefault="00B8752C">
      <w:pPr>
        <w:rPr>
          <w:rFonts w:ascii="Arial" w:hAnsi="Arial" w:cs="Arial"/>
        </w:rPr>
      </w:pPr>
      <w:bookmarkStart w:id="0" w:name="_GoBack"/>
      <w:bookmarkEnd w:id="0"/>
    </w:p>
    <w:sectPr w:rsidR="00B8752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B4CF5"/>
    <w:multiLevelType w:val="hybridMultilevel"/>
    <w:tmpl w:val="D2547EBC"/>
    <w:lvl w:ilvl="0" w:tplc="E3523E78">
      <w:start w:val="1"/>
      <w:numFmt w:val="decimal"/>
      <w:lvlText w:val="%1."/>
      <w:lvlJc w:val="left"/>
      <w:pPr>
        <w:ind w:left="720" w:hanging="360"/>
      </w:pPr>
      <w:rPr>
        <w:rFonts w:eastAsia="Calibri"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2C"/>
    <w:rsid w:val="003204EA"/>
    <w:rsid w:val="0098236C"/>
    <w:rsid w:val="00B8752C"/>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DD2C"/>
  <w15:chartTrackingRefBased/>
  <w15:docId w15:val="{D102C5CF-8F41-4EDF-9882-E6199D79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7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PPS_Bullet,Syle 1,List Paragraph1,Numurets,Virsraksti,Saraksta rindkopa"/>
    <w:basedOn w:val="Normal"/>
    <w:link w:val="ListParagraphChar"/>
    <w:uiPriority w:val="34"/>
    <w:qFormat/>
    <w:rsid w:val="00B8752C"/>
    <w:pPr>
      <w:spacing w:after="0" w:line="240" w:lineRule="auto"/>
      <w:ind w:left="720"/>
      <w:contextualSpacing/>
    </w:pPr>
    <w:rPr>
      <w:rFonts w:ascii="Times New Roman" w:eastAsia="Calibri" w:hAnsi="Times New Roman" w:cs="Times New Roman"/>
      <w:sz w:val="20"/>
      <w:szCs w:val="20"/>
      <w:lang w:eastAsia="lv-LV"/>
    </w:rPr>
  </w:style>
  <w:style w:type="character" w:customStyle="1" w:styleId="ListParagraphChar">
    <w:name w:val="List Paragraph Char"/>
    <w:aliases w:val="H&amp;P List Paragraph Char,2 Char,Strip Char,Normal bullet 2 Char,Bullet list Char,Saistīto dokumentu saraksts Char,PPS_Bullet Char,Syle 1 Char,List Paragraph1 Char,Numurets Char,Virsraksti Char,Saraksta rindkopa Char"/>
    <w:link w:val="ListParagraph"/>
    <w:uiPriority w:val="34"/>
    <w:qFormat/>
    <w:locked/>
    <w:rsid w:val="00B8752C"/>
    <w:rPr>
      <w:rFonts w:ascii="Times New Roman" w:eastAsia="Calibri"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1129</Words>
  <Characters>645</Characters>
  <Application>Microsoft Office Word</Application>
  <DocSecurity>0</DocSecurity>
  <Lines>5</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1</cp:revision>
  <dcterms:created xsi:type="dcterms:W3CDTF">2020-04-22T10:00:00Z</dcterms:created>
  <dcterms:modified xsi:type="dcterms:W3CDTF">2020-04-22T10:02:00Z</dcterms:modified>
</cp:coreProperties>
</file>