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51EF5ACA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A535D8">
        <w:rPr>
          <w:rFonts w:ascii="Times New Roman" w:eastAsia="Arial Unicode MS" w:hAnsi="Times New Roman" w:cs="Times New Roman"/>
          <w:i/>
        </w:rPr>
        <w:t>3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FB5C93">
        <w:rPr>
          <w:rFonts w:ascii="Times New Roman" w:eastAsia="Arial Unicode MS" w:hAnsi="Times New Roman" w:cs="Times New Roman"/>
          <w:i/>
        </w:rPr>
        <w:t>26</w:t>
      </w:r>
      <w:r w:rsidR="00A535D8">
        <w:rPr>
          <w:rFonts w:ascii="Times New Roman" w:eastAsia="Arial Unicode MS" w:hAnsi="Times New Roman" w:cs="Times New Roman"/>
          <w:i/>
        </w:rPr>
        <w:t>.oktobra</w:t>
      </w:r>
    </w:p>
    <w:p w14:paraId="6AF574B6" w14:textId="60E96700" w:rsidR="001A3CAD" w:rsidRPr="004432B4" w:rsidRDefault="001A3CAD" w:rsidP="004432B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6B358B" w:rsidRPr="0061305F">
        <w:rPr>
          <w:rFonts w:ascii="Times New Roman" w:eastAsia="Arial Unicode MS" w:hAnsi="Times New Roman" w:cs="Times New Roman"/>
          <w:i/>
        </w:rPr>
        <w:t>2</w:t>
      </w:r>
    </w:p>
    <w:p w14:paraId="333C9CC9" w14:textId="77777777" w:rsidR="004432B4" w:rsidRDefault="004432B4" w:rsidP="00A535D8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385DF69" w14:textId="64A89A84" w:rsidR="00A535D8" w:rsidRPr="00FB5C93" w:rsidRDefault="00A535D8" w:rsidP="00A535D8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Valsts akciju sabiedrības “Latvijas dzelzceļš”</w:t>
      </w:r>
    </w:p>
    <w:p w14:paraId="71D8AD5D" w14:textId="77777777" w:rsidR="00A535D8" w:rsidRPr="00FB5C93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bookmarkStart w:id="0" w:name="_Hlk113433366"/>
      <w:r w:rsidRPr="00FB5C93">
        <w:rPr>
          <w:rFonts w:ascii="Arial" w:hAnsi="Arial" w:cs="Arial"/>
          <w:b/>
          <w:sz w:val="22"/>
          <w:szCs w:val="22"/>
        </w:rPr>
        <w:t xml:space="preserve">Sarunu procedūra ar publikāciju </w:t>
      </w:r>
      <w:bookmarkEnd w:id="0"/>
    </w:p>
    <w:p w14:paraId="70995EE7" w14:textId="0D1B561B" w:rsidR="00FC0EE6" w:rsidRPr="00FB5C93" w:rsidRDefault="00A535D8" w:rsidP="00FC0EE6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„</w:t>
      </w:r>
      <w:bookmarkStart w:id="1" w:name="_Hlk71528531"/>
      <w:r w:rsidR="00FC0EE6" w:rsidRPr="00FB5C93">
        <w:rPr>
          <w:rFonts w:ascii="Arial" w:hAnsi="Arial" w:cs="Arial"/>
          <w:b/>
          <w:sz w:val="22"/>
          <w:szCs w:val="22"/>
        </w:rPr>
        <w:t>Eļļu un smērvielu piegāde</w:t>
      </w:r>
      <w:bookmarkEnd w:id="1"/>
      <w:r w:rsidR="00FC0EE6" w:rsidRPr="00FB5C93">
        <w:rPr>
          <w:rFonts w:ascii="Arial" w:hAnsi="Arial" w:cs="Arial"/>
          <w:b/>
          <w:sz w:val="22"/>
          <w:szCs w:val="22"/>
        </w:rPr>
        <w:t>”</w:t>
      </w:r>
    </w:p>
    <w:p w14:paraId="5CAE18F0" w14:textId="46DAAB8B" w:rsidR="00A535D8" w:rsidRPr="00FB5C93" w:rsidRDefault="00FC0EE6" w:rsidP="00FC0EE6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(iepirkuma ID. Nr. LDZ 2023/162-SPAV</w:t>
      </w:r>
    </w:p>
    <w:p w14:paraId="5C4A07A9" w14:textId="77777777" w:rsidR="00BD3F0E" w:rsidRPr="00FB5C93" w:rsidRDefault="00BD3F0E" w:rsidP="00A535D8">
      <w:pPr>
        <w:jc w:val="center"/>
        <w:rPr>
          <w:rFonts w:ascii="Arial" w:hAnsi="Arial" w:cs="Arial"/>
          <w:b/>
        </w:rPr>
      </w:pPr>
    </w:p>
    <w:p w14:paraId="1DFF9970" w14:textId="7F041FEF" w:rsidR="00A535D8" w:rsidRPr="00FB5C93" w:rsidRDefault="00A535D8" w:rsidP="00A535D8">
      <w:pPr>
        <w:jc w:val="center"/>
        <w:rPr>
          <w:rFonts w:ascii="Arial" w:hAnsi="Arial" w:cs="Arial"/>
          <w:b/>
        </w:rPr>
      </w:pPr>
      <w:r w:rsidRPr="00FB5C93">
        <w:rPr>
          <w:rFonts w:ascii="Arial" w:hAnsi="Arial" w:cs="Arial"/>
          <w:b/>
        </w:rPr>
        <w:t>SKAIDROJUMS Nr.1</w:t>
      </w:r>
    </w:p>
    <w:p w14:paraId="7B70A80B" w14:textId="2BEBB9E4" w:rsidR="00FF4E09" w:rsidRDefault="00FF4E09" w:rsidP="00A53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825"/>
      </w:tblGrid>
      <w:tr w:rsidR="008F78E3" w:rsidRPr="00425FD1" w14:paraId="0403992E" w14:textId="77777777" w:rsidTr="00DE4B36">
        <w:trPr>
          <w:trHeight w:val="695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50894550" w14:textId="671C3B4D" w:rsidR="00FF4E09" w:rsidRPr="00425FD1" w:rsidRDefault="00D76052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Nr.p.k</w:t>
            </w:r>
            <w:proofErr w:type="spellEnd"/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14:paraId="7B7460BA" w14:textId="5E5A7D64" w:rsidR="00FF4E09" w:rsidRPr="00425FD1" w:rsidRDefault="00FF4E09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Jautājums</w:t>
            </w:r>
          </w:p>
        </w:tc>
        <w:tc>
          <w:tcPr>
            <w:tcW w:w="4825" w:type="dxa"/>
            <w:shd w:val="clear" w:color="auto" w:fill="EDEDED" w:themeFill="accent3" w:themeFillTint="33"/>
            <w:vAlign w:val="center"/>
          </w:tcPr>
          <w:p w14:paraId="3AAFC41E" w14:textId="77777777" w:rsidR="00FF4E09" w:rsidRPr="00425FD1" w:rsidRDefault="00FF4E09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Atbilde</w:t>
            </w:r>
          </w:p>
        </w:tc>
      </w:tr>
      <w:tr w:rsidR="008F78E3" w:rsidRPr="00425FD1" w14:paraId="53BFF628" w14:textId="77777777" w:rsidTr="00DE4B36">
        <w:trPr>
          <w:jc w:val="center"/>
        </w:trPr>
        <w:tc>
          <w:tcPr>
            <w:tcW w:w="704" w:type="dxa"/>
          </w:tcPr>
          <w:p w14:paraId="2FDCCFAC" w14:textId="56C39E62" w:rsidR="00FF4E09" w:rsidRPr="00425FD1" w:rsidRDefault="001D6008" w:rsidP="004432B4">
            <w:pPr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425FD1">
              <w:rPr>
                <w:rFonts w:ascii="Times New Roman" w:hAnsi="Times New Roman" w:cs="Times New Roman"/>
                <w:snapToGrid w:val="0"/>
                <w:szCs w:val="24"/>
              </w:rPr>
              <w:t>1.</w:t>
            </w:r>
          </w:p>
        </w:tc>
        <w:tc>
          <w:tcPr>
            <w:tcW w:w="4678" w:type="dxa"/>
          </w:tcPr>
          <w:p w14:paraId="59EB2415" w14:textId="77777777" w:rsidR="00FC0EE6" w:rsidRPr="00FB5C93" w:rsidRDefault="00FC0EE6" w:rsidP="00FC0EE6">
            <w:pPr>
              <w:rPr>
                <w:rFonts w:ascii="Arial" w:eastAsia="Times New Roman" w:hAnsi="Arial" w:cs="Arial"/>
                <w:sz w:val="22"/>
              </w:rPr>
            </w:pPr>
            <w:r w:rsidRPr="00FB5C93">
              <w:rPr>
                <w:rFonts w:ascii="Arial" w:eastAsia="Times New Roman" w:hAnsi="Arial" w:cs="Arial"/>
                <w:sz w:val="22"/>
              </w:rPr>
              <w:t>“1.9.15. par piedāvāto sarunu procedūras priekšmetu, ražotāja izsniegta kvalitātes sertifikāta kopija šī nolikuma 3. pielikumā minētajai precei, kas apliecina piedāvātās preces atbilstību norādītajām</w:t>
            </w:r>
          </w:p>
          <w:p w14:paraId="74CBBC17" w14:textId="46FBC706" w:rsidR="00FC0EE6" w:rsidRPr="00FB5C93" w:rsidRDefault="00FC0EE6" w:rsidP="00FC0EE6">
            <w:pPr>
              <w:rPr>
                <w:rFonts w:ascii="Arial" w:hAnsi="Arial" w:cs="Arial"/>
                <w:sz w:val="22"/>
              </w:rPr>
            </w:pPr>
            <w:r w:rsidRPr="00FB5C93">
              <w:rPr>
                <w:rFonts w:ascii="Arial" w:hAnsi="Arial" w:cs="Arial"/>
                <w:sz w:val="22"/>
              </w:rPr>
              <w:t xml:space="preserve">tehniskajām prasībām.” </w:t>
            </w:r>
          </w:p>
          <w:p w14:paraId="440F1702" w14:textId="77777777" w:rsidR="00FC0EE6" w:rsidRPr="00FB5C93" w:rsidRDefault="00FC0EE6" w:rsidP="00FC0EE6">
            <w:pPr>
              <w:rPr>
                <w:rFonts w:ascii="Arial" w:hAnsi="Arial" w:cs="Arial"/>
                <w:sz w:val="22"/>
              </w:rPr>
            </w:pPr>
          </w:p>
          <w:p w14:paraId="2CD417F7" w14:textId="19809473" w:rsidR="00FC0EE6" w:rsidRPr="00FB5C93" w:rsidRDefault="00FC0EE6" w:rsidP="00FC0EE6">
            <w:pPr>
              <w:rPr>
                <w:rFonts w:ascii="Arial" w:hAnsi="Arial" w:cs="Arial"/>
                <w:sz w:val="22"/>
              </w:rPr>
            </w:pPr>
            <w:r w:rsidRPr="00FB5C93">
              <w:rPr>
                <w:rFonts w:ascii="Arial" w:hAnsi="Arial" w:cs="Arial"/>
                <w:sz w:val="22"/>
              </w:rPr>
              <w:t xml:space="preserve">Pirms preces piegādes ir pieejams produktu tehniskā datu lapa (PDS), kas apliecina piedāvātās preces atbilstību norādītajām tehniskajām prasībām.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Kvalitātes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sertifikāts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tiek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izsniegts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konkrētai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preces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partijai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kad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tā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ir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saražota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.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Tātad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: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konkursa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procesā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var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būt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FB5C93">
              <w:rPr>
                <w:rFonts w:ascii="Arial" w:hAnsi="Arial" w:cs="Arial"/>
                <w:sz w:val="22"/>
                <w:lang w:val="en-US"/>
              </w:rPr>
              <w:t>tikai</w:t>
            </w:r>
            <w:proofErr w:type="spellEnd"/>
            <w:r w:rsidRPr="00FB5C93">
              <w:rPr>
                <w:rFonts w:ascii="Arial" w:hAnsi="Arial" w:cs="Arial"/>
                <w:sz w:val="22"/>
                <w:lang w:val="en-US"/>
              </w:rPr>
              <w:t xml:space="preserve"> PDS.</w:t>
            </w:r>
          </w:p>
          <w:p w14:paraId="4F45E740" w14:textId="77777777" w:rsidR="00FF4E09" w:rsidRPr="00FB5C93" w:rsidRDefault="00FF4E09" w:rsidP="00FC0EE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25" w:type="dxa"/>
          </w:tcPr>
          <w:p w14:paraId="42488EDF" w14:textId="176EF3BE" w:rsidR="00A83BEC" w:rsidRPr="00FB5C93" w:rsidRDefault="00613114" w:rsidP="00613114">
            <w:pPr>
              <w:rPr>
                <w:rFonts w:ascii="Arial" w:hAnsi="Arial" w:cs="Arial"/>
                <w:sz w:val="22"/>
              </w:rPr>
            </w:pPr>
            <w:r w:rsidRPr="00FB5C93">
              <w:rPr>
                <w:rFonts w:ascii="Arial" w:hAnsi="Arial" w:cs="Arial"/>
                <w:sz w:val="22"/>
              </w:rPr>
              <w:t>Pretendentam jāiesniedz dokuments, kas apliecina  piedāvātās preces atbilstību norādītajām tehniskajām prasībām (tehniskā pase, datu lapa u.tml.).</w:t>
            </w:r>
          </w:p>
          <w:p w14:paraId="64216E8D" w14:textId="77777777" w:rsidR="00A83BEC" w:rsidRPr="00FB5C93" w:rsidRDefault="00A83BEC" w:rsidP="001D6008">
            <w:pPr>
              <w:pStyle w:val="ListParagraph"/>
              <w:ind w:right="-1"/>
              <w:rPr>
                <w:rFonts w:ascii="Arial" w:hAnsi="Arial" w:cs="Arial"/>
                <w:sz w:val="22"/>
              </w:rPr>
            </w:pPr>
          </w:p>
          <w:p w14:paraId="2ED59B9F" w14:textId="3A622386" w:rsidR="00FF4E09" w:rsidRPr="00FB5C93" w:rsidRDefault="00FF4E09" w:rsidP="00613114">
            <w:pPr>
              <w:ind w:right="-1"/>
              <w:rPr>
                <w:rFonts w:ascii="Arial" w:hAnsi="Arial" w:cs="Arial"/>
                <w:sz w:val="22"/>
              </w:rPr>
            </w:pPr>
          </w:p>
        </w:tc>
      </w:tr>
      <w:tr w:rsidR="008F78E3" w:rsidRPr="00425FD1" w14:paraId="6E05BAC9" w14:textId="77777777" w:rsidTr="00DE4B36">
        <w:trPr>
          <w:trHeight w:val="3655"/>
          <w:jc w:val="center"/>
        </w:trPr>
        <w:tc>
          <w:tcPr>
            <w:tcW w:w="704" w:type="dxa"/>
          </w:tcPr>
          <w:p w14:paraId="3B302A10" w14:textId="77A6143D" w:rsidR="00FF4E09" w:rsidRPr="00425FD1" w:rsidRDefault="001D6008" w:rsidP="004432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5FD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78" w:type="dxa"/>
          </w:tcPr>
          <w:p w14:paraId="47067269" w14:textId="77777777" w:rsidR="00FC0EE6" w:rsidRPr="00FB5C93" w:rsidRDefault="00FC0EE6" w:rsidP="00FC0EE6">
            <w:pPr>
              <w:rPr>
                <w:rFonts w:ascii="Arial" w:eastAsia="Times New Roman" w:hAnsi="Arial" w:cs="Arial"/>
                <w:sz w:val="22"/>
              </w:rPr>
            </w:pPr>
            <w:r w:rsidRPr="00FB5C93">
              <w:rPr>
                <w:rFonts w:ascii="Arial" w:eastAsia="Times New Roman" w:hAnsi="Arial" w:cs="Arial"/>
                <w:sz w:val="22"/>
              </w:rPr>
              <w:t>“lai pārliecinātos, vai uz piedāvātajām precēm, ja prece tiek ievesta no Krievijas Federācijas vai Baltkrievijas Republikas, nav attiecināms aizliegums importam Eiropā (tai skaitā, Latvijā) ….</w:t>
            </w:r>
          </w:p>
          <w:p w14:paraId="191A6BF5" w14:textId="77777777" w:rsidR="00FC0EE6" w:rsidRPr="00FB5C93" w:rsidRDefault="00FC0EE6" w:rsidP="00FC0EE6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FB5C93">
              <w:rPr>
                <w:rFonts w:ascii="Arial" w:eastAsia="Times New Roman" w:hAnsi="Arial" w:cs="Arial"/>
                <w:sz w:val="22"/>
              </w:rPr>
              <w:t xml:space="preserve">visām piedāvātajām preču vienībām jānorāda kombinētās nomenklatūras (KN) preču kodus” : </w:t>
            </w:r>
          </w:p>
          <w:p w14:paraId="61C1B4DB" w14:textId="77777777" w:rsidR="00FC0EE6" w:rsidRPr="00FB5C93" w:rsidRDefault="00FC0EE6" w:rsidP="00FC0EE6">
            <w:pPr>
              <w:rPr>
                <w:rFonts w:ascii="Arial" w:hAnsi="Arial" w:cs="Arial"/>
                <w:sz w:val="22"/>
              </w:rPr>
            </w:pPr>
          </w:p>
          <w:p w14:paraId="5D5FF93D" w14:textId="25AC6594" w:rsidR="00FC0EE6" w:rsidRPr="00FB5C93" w:rsidRDefault="00FC0EE6" w:rsidP="00FC0EE6">
            <w:pPr>
              <w:rPr>
                <w:rFonts w:ascii="Arial" w:hAnsi="Arial" w:cs="Arial"/>
                <w:sz w:val="22"/>
              </w:rPr>
            </w:pPr>
            <w:r w:rsidRPr="00FB5C93">
              <w:rPr>
                <w:rFonts w:ascii="Arial" w:hAnsi="Arial" w:cs="Arial"/>
                <w:sz w:val="22"/>
              </w:rPr>
              <w:t xml:space="preserve">vai tiek pieļauta Krievijā vai Baltkrievijā ražotu eļļu un smērvielu piegāde ? (Eļļas un smērvielas ir aizliegts ievest no minētām valstīm). </w:t>
            </w:r>
          </w:p>
          <w:p w14:paraId="1D252ABB" w14:textId="77777777" w:rsidR="00FF4E09" w:rsidRPr="00FB5C93" w:rsidRDefault="00FF4E09" w:rsidP="001D6008">
            <w:pPr>
              <w:ind w:left="709"/>
              <w:rPr>
                <w:rFonts w:ascii="Arial" w:hAnsi="Arial" w:cs="Arial"/>
                <w:b/>
                <w:bCs/>
                <w:snapToGrid w:val="0"/>
                <w:sz w:val="22"/>
              </w:rPr>
            </w:pPr>
          </w:p>
        </w:tc>
        <w:tc>
          <w:tcPr>
            <w:tcW w:w="4825" w:type="dxa"/>
          </w:tcPr>
          <w:p w14:paraId="20F13FBB" w14:textId="18648837" w:rsidR="00A83BEC" w:rsidRPr="00FB5C93" w:rsidRDefault="00A83BEC" w:rsidP="00B8310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2"/>
              </w:rPr>
            </w:pPr>
            <w:r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Nē,  </w:t>
            </w:r>
            <w:r w:rsidR="00E3075A"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netiek </w:t>
            </w:r>
            <w:r w:rsidRPr="00FB5C93">
              <w:rPr>
                <w:rFonts w:ascii="Arial" w:eastAsia="Times New Roman" w:hAnsi="Arial" w:cs="Arial"/>
                <w:color w:val="212529"/>
                <w:sz w:val="22"/>
              </w:rPr>
              <w:t>pieļau</w:t>
            </w:r>
            <w:r w:rsidR="00E3075A" w:rsidRPr="00FB5C93">
              <w:rPr>
                <w:rFonts w:ascii="Arial" w:eastAsia="Times New Roman" w:hAnsi="Arial" w:cs="Arial"/>
                <w:color w:val="212529"/>
                <w:sz w:val="22"/>
              </w:rPr>
              <w:t>ta tādu preču piegāde, uz kurām ir attiecināmi</w:t>
            </w:r>
            <w:r w:rsidR="00E3075A" w:rsidRPr="00FB5C93">
              <w:rPr>
                <w:rFonts w:ascii="Arial" w:hAnsi="Arial" w:cs="Arial"/>
                <w:sz w:val="22"/>
              </w:rPr>
              <w:t xml:space="preserve"> </w:t>
            </w:r>
            <w:r w:rsidR="00E3075A" w:rsidRPr="00FB5C93">
              <w:rPr>
                <w:rFonts w:ascii="Arial" w:eastAsia="Times New Roman" w:hAnsi="Arial" w:cs="Arial"/>
                <w:color w:val="212529"/>
                <w:sz w:val="22"/>
              </w:rPr>
              <w:t>Starptautisko un Latvijas Republikas nacionālo sankciju likumu un aktuāl</w:t>
            </w:r>
            <w:r w:rsidR="00340100" w:rsidRPr="00FB5C93">
              <w:rPr>
                <w:rFonts w:ascii="Arial" w:eastAsia="Times New Roman" w:hAnsi="Arial" w:cs="Arial"/>
                <w:color w:val="212529"/>
                <w:sz w:val="22"/>
              </w:rPr>
              <w:t>ie</w:t>
            </w:r>
            <w:r w:rsidR="00E3075A"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 saistoš</w:t>
            </w:r>
            <w:r w:rsidR="00340100" w:rsidRPr="00FB5C93">
              <w:rPr>
                <w:rFonts w:ascii="Arial" w:eastAsia="Times New Roman" w:hAnsi="Arial" w:cs="Arial"/>
                <w:color w:val="212529"/>
                <w:sz w:val="22"/>
              </w:rPr>
              <w:t>ie</w:t>
            </w:r>
            <w:r w:rsidR="00E3075A"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 Eiropas Savienības sankciju ierobežojumi</w:t>
            </w:r>
            <w:r w:rsidRPr="00FB5C93">
              <w:rPr>
                <w:rFonts w:ascii="Arial" w:eastAsia="Times New Roman" w:hAnsi="Arial" w:cs="Arial"/>
                <w:color w:val="212529"/>
                <w:sz w:val="22"/>
              </w:rPr>
              <w:t>.</w:t>
            </w:r>
          </w:p>
          <w:p w14:paraId="5133775C" w14:textId="6ACF0C06" w:rsidR="00B83107" w:rsidRPr="00FB5C93" w:rsidRDefault="00A83BEC" w:rsidP="00B8310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2"/>
              </w:rPr>
            </w:pPr>
            <w:r w:rsidRPr="00FB5C93">
              <w:rPr>
                <w:rFonts w:ascii="Arial" w:eastAsia="Times New Roman" w:hAnsi="Arial" w:cs="Arial"/>
                <w:color w:val="212529"/>
                <w:sz w:val="22"/>
              </w:rPr>
              <w:t>Piedāvājumu</w:t>
            </w:r>
            <w:r w:rsidR="00B83107"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 vērtēšanas gaitā, ievērojot Starptautisko un Latvijas Republikas nacionālo sankciju likumu un aktuālās saistošās Eiropas Savienības tiesību normas, kas reglamentē sankciju ierobežojumus, tiek pārbaudīta sankciju risku </w:t>
            </w:r>
            <w:proofErr w:type="spellStart"/>
            <w:r w:rsidR="00B83107" w:rsidRPr="00FB5C93">
              <w:rPr>
                <w:rFonts w:ascii="Arial" w:eastAsia="Times New Roman" w:hAnsi="Arial" w:cs="Arial"/>
                <w:color w:val="212529"/>
                <w:sz w:val="22"/>
              </w:rPr>
              <w:t>attiecināmība</w:t>
            </w:r>
            <w:proofErr w:type="spellEnd"/>
            <w:r w:rsidR="00B83107"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 uz pretendentu</w:t>
            </w:r>
            <w:r w:rsidR="00145FCD" w:rsidRPr="00FB5C93">
              <w:rPr>
                <w:rFonts w:ascii="Arial" w:eastAsia="Times New Roman" w:hAnsi="Arial" w:cs="Arial"/>
                <w:color w:val="212529"/>
                <w:sz w:val="22"/>
              </w:rPr>
              <w:t>,</w:t>
            </w:r>
            <w:r w:rsidR="00B83107"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 tā piedāvātajām precēm</w:t>
            </w:r>
            <w:r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, kā arī </w:t>
            </w:r>
            <w:r w:rsidR="00145FCD" w:rsidRPr="00FB5C93">
              <w:rPr>
                <w:rFonts w:ascii="Arial" w:eastAsia="Times New Roman" w:hAnsi="Arial" w:cs="Arial"/>
                <w:color w:val="212529"/>
                <w:sz w:val="22"/>
              </w:rPr>
              <w:t xml:space="preserve">piegādes </w:t>
            </w:r>
            <w:r w:rsidRPr="00FB5C93">
              <w:rPr>
                <w:rFonts w:ascii="Arial" w:eastAsia="Times New Roman" w:hAnsi="Arial" w:cs="Arial"/>
                <w:color w:val="212529"/>
                <w:sz w:val="22"/>
              </w:rPr>
              <w:t>ķēdes dalībniekiem.</w:t>
            </w:r>
          </w:p>
          <w:p w14:paraId="2D6DF2BB" w14:textId="401ADF33" w:rsidR="00FF4E09" w:rsidRPr="00FB5C93" w:rsidRDefault="00A83BEC" w:rsidP="00B8310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2"/>
              </w:rPr>
            </w:pPr>
            <w:r w:rsidRPr="00FB5C93">
              <w:rPr>
                <w:rFonts w:ascii="Arial" w:eastAsia="Times New Roman" w:hAnsi="Arial" w:cs="Arial"/>
                <w:color w:val="212529"/>
                <w:sz w:val="22"/>
              </w:rPr>
              <w:t>P</w:t>
            </w:r>
            <w:r w:rsidR="00E3075A" w:rsidRPr="00FB5C93">
              <w:rPr>
                <w:rFonts w:ascii="Arial" w:eastAsia="Times New Roman" w:hAnsi="Arial" w:cs="Arial"/>
                <w:color w:val="212529"/>
                <w:sz w:val="22"/>
              </w:rPr>
              <w:t>retendents ir tiesīgs piedāvāt preces, kas atrodas tā noliktavā un ir ievestas Eiropas Savienības teritorijā pirms attiecīgo sankciju stāšanās spēkā, iesniedzot par to attiecīgu apliecinājumu (muitas dokumentus u.c.).</w:t>
            </w:r>
          </w:p>
        </w:tc>
      </w:tr>
      <w:tr w:rsidR="00FC0EE6" w:rsidRPr="00425FD1" w14:paraId="62B7E188" w14:textId="77777777" w:rsidTr="00DE4B36">
        <w:trPr>
          <w:trHeight w:val="1550"/>
          <w:jc w:val="center"/>
        </w:trPr>
        <w:tc>
          <w:tcPr>
            <w:tcW w:w="704" w:type="dxa"/>
          </w:tcPr>
          <w:p w14:paraId="1EBA733E" w14:textId="08D46A23" w:rsidR="00FC0EE6" w:rsidRPr="00425FD1" w:rsidRDefault="00FC0EE6" w:rsidP="004432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678" w:type="dxa"/>
          </w:tcPr>
          <w:p w14:paraId="237E4EB4" w14:textId="7E829EC2" w:rsidR="00FC0EE6" w:rsidRPr="00FB5C93" w:rsidRDefault="00FC0EE6" w:rsidP="00FC0EE6">
            <w:pPr>
              <w:rPr>
                <w:rFonts w:ascii="Arial" w:hAnsi="Arial" w:cs="Arial"/>
                <w:sz w:val="22"/>
              </w:rPr>
            </w:pPr>
            <w:r w:rsidRPr="00FB5C93">
              <w:rPr>
                <w:rFonts w:ascii="Arial" w:hAnsi="Arial" w:cs="Arial"/>
                <w:sz w:val="22"/>
              </w:rPr>
              <w:t>Tiešām vajadzīga smago auto eļļa mazos iepakojumos ar atestāciju MB 228.51, varbūt vajag vieglo auto parkam ar atestāciju 229.51 .</w:t>
            </w:r>
          </w:p>
          <w:p w14:paraId="71E3D5C8" w14:textId="77777777" w:rsidR="00FC0EE6" w:rsidRPr="00FB5C93" w:rsidRDefault="00FC0EE6" w:rsidP="00FC0EE6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825" w:type="dxa"/>
          </w:tcPr>
          <w:p w14:paraId="2A9F5185" w14:textId="1231F115" w:rsidR="00DE4B36" w:rsidRPr="00DE4B36" w:rsidRDefault="00DE4B36" w:rsidP="00DE4B36">
            <w:pPr>
              <w:spacing w:before="225"/>
              <w:rPr>
                <w:rFonts w:ascii="Arial" w:hAnsi="Arial" w:cs="Arial"/>
                <w:sz w:val="20"/>
                <w:szCs w:val="20"/>
              </w:rPr>
            </w:pPr>
            <w:r w:rsidRPr="00DE4B36">
              <w:rPr>
                <w:rFonts w:ascii="Arial" w:hAnsi="Arial" w:cs="Arial"/>
                <w:sz w:val="20"/>
                <w:szCs w:val="20"/>
              </w:rPr>
              <w:t>Skat. Grozījumus Nr.1.</w:t>
            </w:r>
          </w:p>
          <w:p w14:paraId="20132564" w14:textId="3FDAFE6B" w:rsidR="00DE4B36" w:rsidRPr="00E07242" w:rsidRDefault="00DE4B36" w:rsidP="00E07242">
            <w:pPr>
              <w:spacing w:before="225"/>
              <w:rPr>
                <w:rFonts w:ascii="Arial" w:hAnsi="Arial" w:cs="Arial"/>
                <w:sz w:val="20"/>
                <w:szCs w:val="20"/>
              </w:rPr>
            </w:pPr>
            <w:r w:rsidRPr="00DE4B36">
              <w:rPr>
                <w:rFonts w:ascii="Arial" w:hAnsi="Arial" w:cs="Arial"/>
                <w:sz w:val="20"/>
                <w:szCs w:val="20"/>
              </w:rPr>
              <w:t>Nolikuma 3.pielikum</w:t>
            </w:r>
            <w:r>
              <w:rPr>
                <w:rFonts w:ascii="Arial" w:hAnsi="Arial" w:cs="Arial"/>
                <w:sz w:val="20"/>
                <w:szCs w:val="20"/>
              </w:rPr>
              <w:t>ā</w:t>
            </w:r>
            <w:r w:rsidRPr="00DE4B36">
              <w:rPr>
                <w:rFonts w:ascii="Arial" w:hAnsi="Arial" w:cs="Arial"/>
                <w:sz w:val="20"/>
                <w:szCs w:val="20"/>
              </w:rPr>
              <w:t xml:space="preserve"> “Tehniskajā specifikācija” 1.4., 1.5., 1.6. preču pozīcij</w:t>
            </w:r>
            <w:r>
              <w:rPr>
                <w:rFonts w:ascii="Arial" w:hAnsi="Arial" w:cs="Arial"/>
                <w:sz w:val="20"/>
                <w:szCs w:val="20"/>
              </w:rPr>
              <w:t>ās</w:t>
            </w:r>
            <w:r w:rsidRPr="00DE4B36">
              <w:rPr>
                <w:rFonts w:ascii="Arial" w:hAnsi="Arial" w:cs="Arial"/>
                <w:sz w:val="20"/>
                <w:szCs w:val="20"/>
              </w:rPr>
              <w:t xml:space="preserve"> tiek precizēt</w:t>
            </w:r>
            <w:r>
              <w:rPr>
                <w:rFonts w:ascii="Arial" w:hAnsi="Arial" w:cs="Arial"/>
                <w:sz w:val="20"/>
                <w:szCs w:val="20"/>
              </w:rPr>
              <w:t>s “s</w:t>
            </w:r>
            <w:r w:rsidRPr="00DE4B36">
              <w:rPr>
                <w:rFonts w:ascii="Arial" w:hAnsi="Arial" w:cs="Arial"/>
                <w:sz w:val="20"/>
                <w:szCs w:val="20"/>
              </w:rPr>
              <w:t>tandarts vai specifikācija</w:t>
            </w:r>
            <w:r w:rsidRPr="00DE4B36">
              <w:rPr>
                <w:rFonts w:ascii="Arial" w:hAnsi="Arial" w:cs="Arial"/>
                <w:sz w:val="20"/>
                <w:szCs w:val="20"/>
              </w:rPr>
              <w:t xml:space="preserve">” sekojoši: </w:t>
            </w:r>
          </w:p>
          <w:tbl>
            <w:tblPr>
              <w:tblW w:w="49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2173"/>
              <w:gridCol w:w="2007"/>
            </w:tblGrid>
            <w:tr w:rsidR="00C70A4A" w14:paraId="6402C8DF" w14:textId="77777777" w:rsidTr="00DE4B36">
              <w:trPr>
                <w:trHeight w:val="31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256E84" w14:textId="77777777" w:rsidR="00C70A4A" w:rsidRDefault="00C70A4A" w:rsidP="00C70A4A">
                  <w:pPr>
                    <w:framePr w:hSpace="180" w:wrap="around" w:vAnchor="text" w:hAnchor="text" w:xAlign="center" w:y="1"/>
                    <w:spacing w:line="252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0D82D0" w14:textId="77777777" w:rsidR="00C70A4A" w:rsidRDefault="00C70A4A" w:rsidP="00C70A4A">
                  <w:pPr>
                    <w:framePr w:hSpace="180" w:wrap="around" w:vAnchor="text" w:hAnchor="text" w:xAlign="center" w:y="1"/>
                    <w:spacing w:line="252" w:lineRule="auto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Sintētiskā SAE 5W-40</w:t>
                  </w:r>
                </w:p>
              </w:tc>
              <w:tc>
                <w:tcPr>
                  <w:tcW w:w="2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D3B13E" w14:textId="77777777" w:rsidR="00DE4B36" w:rsidRDefault="00E07242" w:rsidP="00DE4B36">
                  <w:pPr>
                    <w:framePr w:hSpace="180" w:wrap="around" w:vAnchor="text" w:hAnchor="text" w:xAlign="center" w:y="1"/>
                    <w:spacing w:line="252" w:lineRule="auto"/>
                    <w:suppressOverlap/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</w:rPr>
                  </w:pPr>
                  <w:r w:rsidRPr="00E07242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</w:rPr>
                    <w:t>MB 228.51</w:t>
                  </w:r>
                  <w:r w:rsidRPr="00E07242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</w:rPr>
                    <w:t>,</w:t>
                  </w:r>
                </w:p>
                <w:p w14:paraId="01603CA2" w14:textId="111B4932" w:rsidR="00C70A4A" w:rsidRDefault="00E07242" w:rsidP="00DE4B36">
                  <w:pPr>
                    <w:framePr w:hSpace="180" w:wrap="around" w:vAnchor="text" w:hAnchor="text" w:xAlign="center" w:y="1"/>
                    <w:spacing w:line="252" w:lineRule="auto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="00C70A4A">
                    <w:rPr>
                      <w:rFonts w:ascii="Arial" w:hAnsi="Arial" w:cs="Arial"/>
                      <w:color w:val="00B050"/>
                      <w:sz w:val="18"/>
                      <w:szCs w:val="18"/>
                    </w:rPr>
                    <w:t>API SN/CF</w:t>
                  </w:r>
                  <w:r w:rsidR="00C70A4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ACEA A3/B4 </w:t>
                  </w:r>
                </w:p>
              </w:tc>
            </w:tr>
            <w:tr w:rsidR="00C70A4A" w14:paraId="0255E919" w14:textId="77777777" w:rsidTr="00DE4B36">
              <w:trPr>
                <w:trHeight w:val="31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E111CA" w14:textId="77777777" w:rsidR="00C70A4A" w:rsidRDefault="00C70A4A" w:rsidP="00C70A4A">
                  <w:pPr>
                    <w:framePr w:hSpace="180" w:wrap="around" w:vAnchor="text" w:hAnchor="text" w:xAlign="center" w:y="1"/>
                    <w:spacing w:line="252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173" w:type="dxa"/>
                  <w:vMerge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746493" w14:textId="77777777" w:rsidR="00C70A4A" w:rsidRDefault="00C70A4A" w:rsidP="00C70A4A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07" w:type="dxa"/>
                  <w:vMerge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E432E59" w14:textId="77777777" w:rsidR="00C70A4A" w:rsidRDefault="00C70A4A" w:rsidP="00C70A4A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C70A4A" w14:paraId="19843476" w14:textId="77777777" w:rsidTr="00DE4B36">
              <w:trPr>
                <w:trHeight w:val="315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DC129D" w14:textId="77777777" w:rsidR="00C70A4A" w:rsidRDefault="00C70A4A" w:rsidP="00C70A4A">
                  <w:pPr>
                    <w:framePr w:hSpace="180" w:wrap="around" w:vAnchor="text" w:hAnchor="text" w:xAlign="center" w:y="1"/>
                    <w:spacing w:line="252" w:lineRule="auto"/>
                    <w:suppressOverlap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17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C2E328" w14:textId="77777777" w:rsidR="00C70A4A" w:rsidRDefault="00C70A4A" w:rsidP="00C70A4A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07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91695F" w14:textId="77777777" w:rsidR="00C70A4A" w:rsidRDefault="00C70A4A" w:rsidP="00C70A4A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C8D45B4" w14:textId="40741D53" w:rsidR="00A83BEC" w:rsidRPr="00FB5C93" w:rsidRDefault="00A83BEC" w:rsidP="00DE4B36">
            <w:pPr>
              <w:pStyle w:val="ListParagraph"/>
              <w:spacing w:before="225"/>
              <w:rPr>
                <w:rFonts w:ascii="Arial" w:eastAsia="Times New Roman" w:hAnsi="Arial" w:cs="Arial"/>
                <w:color w:val="212529"/>
                <w:sz w:val="22"/>
              </w:rPr>
            </w:pPr>
          </w:p>
        </w:tc>
      </w:tr>
    </w:tbl>
    <w:p w14:paraId="5D7F5500" w14:textId="77777777" w:rsidR="00577433" w:rsidRPr="00142854" w:rsidRDefault="00577433" w:rsidP="00DE4B36">
      <w:pPr>
        <w:rPr>
          <w:rFonts w:ascii="Times New Roman" w:hAnsi="Times New Roman" w:cs="Times New Roman"/>
        </w:rPr>
      </w:pPr>
    </w:p>
    <w:sectPr w:rsidR="00577433" w:rsidRPr="00142854" w:rsidSect="00DE4B36">
      <w:headerReference w:type="default" r:id="rId11"/>
      <w:footerReference w:type="default" r:id="rId12"/>
      <w:footerReference w:type="first" r:id="rId13"/>
      <w:pgSz w:w="11906" w:h="16838" w:code="9"/>
      <w:pgMar w:top="568" w:right="84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E71F" w14:textId="77777777" w:rsidR="00693B82" w:rsidRDefault="00693B82" w:rsidP="00591256">
      <w:r>
        <w:separator/>
      </w:r>
    </w:p>
  </w:endnote>
  <w:endnote w:type="continuationSeparator" w:id="0">
    <w:p w14:paraId="43215223" w14:textId="77777777" w:rsidR="00693B82" w:rsidRDefault="00693B82" w:rsidP="00591256">
      <w:r>
        <w:continuationSeparator/>
      </w:r>
    </w:p>
  </w:endnote>
  <w:endnote w:type="continuationNotice" w:id="1">
    <w:p w14:paraId="1B68A53D" w14:textId="77777777" w:rsidR="00693B82" w:rsidRDefault="006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FDF1" w14:textId="77777777" w:rsidR="00693B82" w:rsidRDefault="00693B82" w:rsidP="00591256">
      <w:r>
        <w:separator/>
      </w:r>
    </w:p>
  </w:footnote>
  <w:footnote w:type="continuationSeparator" w:id="0">
    <w:p w14:paraId="75F89CDF" w14:textId="77777777" w:rsidR="00693B82" w:rsidRDefault="00693B82" w:rsidP="00591256">
      <w:r>
        <w:continuationSeparator/>
      </w:r>
    </w:p>
  </w:footnote>
  <w:footnote w:type="continuationNotice" w:id="1">
    <w:p w14:paraId="6A69B662" w14:textId="77777777" w:rsidR="00693B82" w:rsidRDefault="00693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760"/>
    <w:multiLevelType w:val="hybridMultilevel"/>
    <w:tmpl w:val="E6D8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07281F"/>
    <w:multiLevelType w:val="hybridMultilevel"/>
    <w:tmpl w:val="F44EED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A4B0F"/>
    <w:multiLevelType w:val="hybridMultilevel"/>
    <w:tmpl w:val="0C74F954"/>
    <w:lvl w:ilvl="0" w:tplc="8CA88FD2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9D1BCC"/>
    <w:multiLevelType w:val="hybridMultilevel"/>
    <w:tmpl w:val="F44EE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111E0"/>
    <w:multiLevelType w:val="hybridMultilevel"/>
    <w:tmpl w:val="228837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7285">
    <w:abstractNumId w:val="15"/>
  </w:num>
  <w:num w:numId="2" w16cid:durableId="1809738145">
    <w:abstractNumId w:val="11"/>
  </w:num>
  <w:num w:numId="3" w16cid:durableId="711802923">
    <w:abstractNumId w:val="9"/>
  </w:num>
  <w:num w:numId="4" w16cid:durableId="1024133809">
    <w:abstractNumId w:val="6"/>
  </w:num>
  <w:num w:numId="5" w16cid:durableId="480316779">
    <w:abstractNumId w:val="13"/>
  </w:num>
  <w:num w:numId="6" w16cid:durableId="165443668">
    <w:abstractNumId w:val="4"/>
  </w:num>
  <w:num w:numId="7" w16cid:durableId="726492419">
    <w:abstractNumId w:val="7"/>
  </w:num>
  <w:num w:numId="8" w16cid:durableId="1388340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680857">
    <w:abstractNumId w:val="5"/>
  </w:num>
  <w:num w:numId="10" w16cid:durableId="1727340381">
    <w:abstractNumId w:val="3"/>
  </w:num>
  <w:num w:numId="11" w16cid:durableId="180546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531991">
    <w:abstractNumId w:val="12"/>
  </w:num>
  <w:num w:numId="13" w16cid:durableId="1211108374">
    <w:abstractNumId w:val="10"/>
  </w:num>
  <w:num w:numId="14" w16cid:durableId="708988446">
    <w:abstractNumId w:val="16"/>
  </w:num>
  <w:num w:numId="15" w16cid:durableId="1258706618">
    <w:abstractNumId w:val="0"/>
  </w:num>
  <w:num w:numId="16" w16cid:durableId="176386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116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891782">
    <w:abstractNumId w:val="19"/>
  </w:num>
  <w:num w:numId="19" w16cid:durableId="1752464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999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7717311">
    <w:abstractNumId w:val="18"/>
  </w:num>
  <w:num w:numId="22" w16cid:durableId="1577858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0974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95540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58F0"/>
    <w:rsid w:val="000E77EC"/>
    <w:rsid w:val="000F07E7"/>
    <w:rsid w:val="000F1484"/>
    <w:rsid w:val="000F2F27"/>
    <w:rsid w:val="000F595D"/>
    <w:rsid w:val="00101CE0"/>
    <w:rsid w:val="0010214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45FCD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87719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D600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127A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010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25FD1"/>
    <w:rsid w:val="00431C11"/>
    <w:rsid w:val="00434298"/>
    <w:rsid w:val="00435699"/>
    <w:rsid w:val="004432B4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30F0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37657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2E22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114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4A0B"/>
    <w:rsid w:val="00685048"/>
    <w:rsid w:val="00685C3C"/>
    <w:rsid w:val="00686911"/>
    <w:rsid w:val="006871BA"/>
    <w:rsid w:val="00693897"/>
    <w:rsid w:val="00693B82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08E2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8F78E3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D6A4E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35D8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BEC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107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3F0E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0A4A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0EB4"/>
    <w:rsid w:val="00CC3D7C"/>
    <w:rsid w:val="00CC5BFE"/>
    <w:rsid w:val="00CD0037"/>
    <w:rsid w:val="00CD2065"/>
    <w:rsid w:val="00CD3951"/>
    <w:rsid w:val="00CD746E"/>
    <w:rsid w:val="00CE0AC2"/>
    <w:rsid w:val="00CE4A46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052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4B36"/>
    <w:rsid w:val="00DE637C"/>
    <w:rsid w:val="00DE7B72"/>
    <w:rsid w:val="00DF4CFC"/>
    <w:rsid w:val="00E0059C"/>
    <w:rsid w:val="00E00A4B"/>
    <w:rsid w:val="00E0377D"/>
    <w:rsid w:val="00E03A32"/>
    <w:rsid w:val="00E06206"/>
    <w:rsid w:val="00E07242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75A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36EF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34DD"/>
    <w:rsid w:val="00FA4AF0"/>
    <w:rsid w:val="00FA64DE"/>
    <w:rsid w:val="00FB0790"/>
    <w:rsid w:val="00FB36BB"/>
    <w:rsid w:val="00FB5C93"/>
    <w:rsid w:val="00FC0EE6"/>
    <w:rsid w:val="00FC0FCE"/>
    <w:rsid w:val="00FC20AE"/>
    <w:rsid w:val="00FD096F"/>
    <w:rsid w:val="00FD1298"/>
    <w:rsid w:val="00FD26CC"/>
    <w:rsid w:val="00FD65EA"/>
    <w:rsid w:val="00FE4309"/>
    <w:rsid w:val="00FE631B"/>
    <w:rsid w:val="00FE6ED1"/>
    <w:rsid w:val="00FF3269"/>
    <w:rsid w:val="00FF4E0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paragraph" w:customStyle="1" w:styleId="Nos2">
    <w:name w:val="Nos2"/>
    <w:rsid w:val="001D600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Dana Platbārde</cp:lastModifiedBy>
  <cp:revision>2</cp:revision>
  <cp:lastPrinted>2021-09-23T09:12:00Z</cp:lastPrinted>
  <dcterms:created xsi:type="dcterms:W3CDTF">2023-10-26T13:17:00Z</dcterms:created>
  <dcterms:modified xsi:type="dcterms:W3CDTF">2023-10-26T13:17:00Z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