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115B7" w14:textId="77777777" w:rsidR="00221889" w:rsidRDefault="00221889" w:rsidP="001D4014">
      <w:pPr>
        <w:tabs>
          <w:tab w:val="left" w:pos="3760"/>
        </w:tabs>
        <w:ind w:left="-284" w:right="-1333" w:firstLine="4395"/>
        <w:jc w:val="right"/>
        <w:rPr>
          <w:rFonts w:eastAsia="Calibri"/>
          <w:i/>
          <w:szCs w:val="24"/>
          <w:lang w:eastAsia="lv-LV"/>
        </w:rPr>
      </w:pPr>
    </w:p>
    <w:p w14:paraId="7F96D98C" w14:textId="2D3F00CF" w:rsidR="001D4014" w:rsidRPr="008951BD" w:rsidRDefault="001D4014" w:rsidP="001D4014">
      <w:pPr>
        <w:tabs>
          <w:tab w:val="left" w:pos="3760"/>
        </w:tabs>
        <w:ind w:left="-284" w:right="-1333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5924C01A" w14:textId="09D618E8" w:rsidR="001D4014" w:rsidRPr="008951BD" w:rsidRDefault="001D4014" w:rsidP="001D4014">
      <w:pPr>
        <w:tabs>
          <w:tab w:val="left" w:pos="3760"/>
        </w:tabs>
        <w:ind w:right="-1333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 xml:space="preserve">2020.gada </w:t>
      </w:r>
      <w:r w:rsidR="00BC4CBF">
        <w:rPr>
          <w:rFonts w:eastAsia="Arial Unicode MS"/>
          <w:i/>
          <w:szCs w:val="24"/>
          <w:lang w:eastAsia="lv-LV"/>
        </w:rPr>
        <w:t>26</w:t>
      </w:r>
      <w:r w:rsidRPr="008951BD">
        <w:rPr>
          <w:rFonts w:eastAsia="Arial Unicode MS"/>
          <w:i/>
          <w:szCs w:val="24"/>
          <w:lang w:eastAsia="lv-LV"/>
        </w:rPr>
        <w:t>.</w:t>
      </w:r>
      <w:r w:rsidR="00BC4CBF">
        <w:rPr>
          <w:rFonts w:eastAsia="Arial Unicode MS"/>
          <w:i/>
          <w:szCs w:val="24"/>
          <w:lang w:eastAsia="lv-LV"/>
        </w:rPr>
        <w:t>oktobra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71EA832E" w14:textId="3A7DD925" w:rsidR="001D4014" w:rsidRDefault="001D4014" w:rsidP="001D4014">
      <w:pPr>
        <w:ind w:right="-1333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</w:t>
      </w:r>
    </w:p>
    <w:p w14:paraId="7DAB2951" w14:textId="77777777" w:rsidR="008951BD" w:rsidRDefault="008951BD" w:rsidP="00221889">
      <w:pPr>
        <w:rPr>
          <w:b/>
        </w:rPr>
      </w:pPr>
    </w:p>
    <w:p w14:paraId="43EAA09A" w14:textId="1DD4897C" w:rsidR="008951BD" w:rsidRPr="00317AFC" w:rsidRDefault="008951BD" w:rsidP="008951BD">
      <w:pPr>
        <w:jc w:val="center"/>
        <w:rPr>
          <w:b/>
          <w:szCs w:val="24"/>
        </w:rPr>
      </w:pPr>
      <w:r w:rsidRPr="00317AFC">
        <w:rPr>
          <w:b/>
        </w:rPr>
        <w:t>VAS </w:t>
      </w:r>
      <w:r w:rsidRPr="00317AFC">
        <w:rPr>
          <w:b/>
          <w:color w:val="222222"/>
        </w:rPr>
        <w:t>„</w:t>
      </w:r>
      <w:r w:rsidRPr="00317AFC">
        <w:rPr>
          <w:b/>
        </w:rPr>
        <w:t>Latvijas dzelzceļš</w:t>
      </w:r>
      <w:r w:rsidRPr="00317AFC">
        <w:rPr>
          <w:b/>
          <w:szCs w:val="24"/>
        </w:rPr>
        <w:t xml:space="preserve">” </w:t>
      </w:r>
    </w:p>
    <w:p w14:paraId="1B1FFA9B" w14:textId="77777777" w:rsidR="008951BD" w:rsidRPr="00317AFC" w:rsidRDefault="008951BD" w:rsidP="008951BD">
      <w:pPr>
        <w:ind w:left="142" w:right="-1"/>
        <w:jc w:val="center"/>
        <w:rPr>
          <w:b/>
          <w:szCs w:val="24"/>
        </w:rPr>
      </w:pPr>
      <w:r w:rsidRPr="00317AFC">
        <w:rPr>
          <w:b/>
          <w:szCs w:val="24"/>
        </w:rPr>
        <w:t>sarunu procedūras ar publikāciju</w:t>
      </w:r>
    </w:p>
    <w:p w14:paraId="3BB9E0AE" w14:textId="35C6FE0C" w:rsidR="008951BD" w:rsidRPr="00317AFC" w:rsidRDefault="008951BD" w:rsidP="00D7220A">
      <w:pPr>
        <w:jc w:val="center"/>
        <w:rPr>
          <w:b/>
          <w:bCs/>
        </w:rPr>
      </w:pPr>
      <w:r w:rsidRPr="00317AFC">
        <w:rPr>
          <w:b/>
          <w:bCs/>
          <w:color w:val="222222"/>
        </w:rPr>
        <w:t>„</w:t>
      </w:r>
      <w:r w:rsidR="00D7220A">
        <w:rPr>
          <w:b/>
          <w:bCs/>
        </w:rPr>
        <w:t>Transportlīdzekļu riepu iegāde</w:t>
      </w:r>
      <w:r w:rsidRPr="00317AFC">
        <w:rPr>
          <w:b/>
          <w:bCs/>
        </w:rPr>
        <w:t>”</w:t>
      </w:r>
    </w:p>
    <w:p w14:paraId="64ED549E" w14:textId="77777777" w:rsidR="008951BD" w:rsidRPr="00317AFC" w:rsidRDefault="008951BD" w:rsidP="008951BD">
      <w:pPr>
        <w:jc w:val="center"/>
        <w:rPr>
          <w:rFonts w:eastAsia="Calibri"/>
          <w:szCs w:val="24"/>
        </w:rPr>
      </w:pPr>
      <w:r w:rsidRPr="00317AFC">
        <w:rPr>
          <w:rFonts w:eastAsia="Calibri"/>
          <w:szCs w:val="24"/>
        </w:rPr>
        <w:t>(turpmāk – sarunu procedūra)</w:t>
      </w:r>
    </w:p>
    <w:p w14:paraId="7FD41054" w14:textId="77777777" w:rsidR="008951BD" w:rsidRPr="00317AFC" w:rsidRDefault="008951BD" w:rsidP="008951BD">
      <w:pPr>
        <w:ind w:left="284" w:right="282"/>
        <w:rPr>
          <w:rFonts w:eastAsia="Calibri"/>
        </w:rPr>
      </w:pPr>
    </w:p>
    <w:p w14:paraId="6FB73687" w14:textId="3907752B" w:rsidR="008951BD" w:rsidRDefault="008951BD" w:rsidP="00221889">
      <w:pPr>
        <w:ind w:left="284" w:right="282"/>
        <w:jc w:val="center"/>
        <w:rPr>
          <w:rFonts w:eastAsia="Calibri"/>
          <w:b/>
        </w:rPr>
      </w:pPr>
      <w:r w:rsidRPr="00317AFC">
        <w:rPr>
          <w:rFonts w:eastAsia="Calibri"/>
          <w:b/>
        </w:rPr>
        <w:t>Skaidrojums Nr.</w:t>
      </w:r>
      <w:r w:rsidR="00D7220A">
        <w:rPr>
          <w:rFonts w:eastAsia="Calibri"/>
          <w:b/>
        </w:rPr>
        <w:t>1</w:t>
      </w:r>
    </w:p>
    <w:p w14:paraId="0C9EF9AC" w14:textId="09003CFB" w:rsidR="00221889" w:rsidRDefault="00221889" w:rsidP="00221889">
      <w:pPr>
        <w:ind w:left="284" w:right="282"/>
        <w:jc w:val="center"/>
        <w:rPr>
          <w:rFonts w:eastAsia="Calibri"/>
          <w:b/>
        </w:rPr>
      </w:pPr>
    </w:p>
    <w:p w14:paraId="49643A98" w14:textId="21AB7588" w:rsidR="00BC4CBF" w:rsidRPr="00BC4CBF" w:rsidRDefault="00BC4CBF" w:rsidP="00BC4CBF">
      <w:pPr>
        <w:ind w:right="282"/>
        <w:jc w:val="left"/>
        <w:rPr>
          <w:rFonts w:eastAsia="Calibri"/>
          <w:b/>
        </w:rPr>
      </w:pPr>
      <w:r>
        <w:rPr>
          <w:rFonts w:eastAsia="Calibri"/>
          <w:b/>
        </w:rPr>
        <w:t>1.jautājums</w:t>
      </w:r>
    </w:p>
    <w:p w14:paraId="2528A7D2" w14:textId="77777777" w:rsidR="00BC4CBF" w:rsidRPr="00BC4CBF" w:rsidRDefault="00BC4CBF" w:rsidP="00BC4CBF"/>
    <w:p w14:paraId="23BAEB86" w14:textId="77777777" w:rsidR="00BC4CBF" w:rsidRPr="00DE4D05" w:rsidRDefault="00BC4CBF" w:rsidP="00BC4CBF">
      <w:r w:rsidRPr="00DE4D05">
        <w:t>Ņemot vērā nosacījumus šajā tabulā nav korekti atspoguļots zīmolu sadalījums 1,2 un 3 iepirkuma daļās (</w:t>
      </w:r>
      <w:proofErr w:type="spellStart"/>
      <w:r w:rsidRPr="00DE4D05">
        <w:t>Marshall</w:t>
      </w:r>
      <w:proofErr w:type="spellEnd"/>
      <w:r w:rsidRPr="00DE4D05">
        <w:t xml:space="preserve"> zīmols ir līdzvērtīgs </w:t>
      </w:r>
      <w:proofErr w:type="spellStart"/>
      <w:r w:rsidRPr="00DE4D05">
        <w:t>Kumho</w:t>
      </w:r>
      <w:proofErr w:type="spellEnd"/>
      <w:r w:rsidRPr="00DE4D05">
        <w:t>), kā arī iztrūkst vairāku zīmolu, kuriem būtu jāatrodas otrajā un trešajā grupā (</w:t>
      </w:r>
      <w:proofErr w:type="spellStart"/>
      <w:r w:rsidRPr="00DE4D05">
        <w:t>Saetta</w:t>
      </w:r>
      <w:proofErr w:type="spellEnd"/>
      <w:r w:rsidRPr="00DE4D05">
        <w:t xml:space="preserve">, </w:t>
      </w:r>
      <w:proofErr w:type="spellStart"/>
      <w:r w:rsidRPr="00DE4D05">
        <w:t>Starfire</w:t>
      </w:r>
      <w:proofErr w:type="spellEnd"/>
      <w:r w:rsidRPr="00DE4D05">
        <w:t xml:space="preserve">, </w:t>
      </w:r>
      <w:proofErr w:type="spellStart"/>
      <w:r w:rsidRPr="00DE4D05">
        <w:t>Starmaxx</w:t>
      </w:r>
      <w:proofErr w:type="spellEnd"/>
      <w:r w:rsidRPr="00DE4D05">
        <w:t xml:space="preserve"> un Sava būtu trešajā grupā, </w:t>
      </w:r>
      <w:proofErr w:type="spellStart"/>
      <w:r w:rsidRPr="00DE4D05">
        <w:t>Cooper</w:t>
      </w:r>
      <w:proofErr w:type="spellEnd"/>
      <w:r w:rsidRPr="00DE4D05">
        <w:t xml:space="preserve"> zīmolam otrajā grupā). Kā arī iekļaujot </w:t>
      </w:r>
      <w:proofErr w:type="spellStart"/>
      <w:r w:rsidRPr="00DE4D05">
        <w:t>trešaja</w:t>
      </w:r>
      <w:proofErr w:type="spellEnd"/>
      <w:r w:rsidRPr="00DE4D05">
        <w:t xml:space="preserve"> grupā </w:t>
      </w:r>
      <w:proofErr w:type="spellStart"/>
      <w:r w:rsidRPr="00DE4D05">
        <w:t>ķīnas</w:t>
      </w:r>
      <w:proofErr w:type="spellEnd"/>
      <w:r w:rsidRPr="00DE4D05">
        <w:t xml:space="preserve"> zīmolu </w:t>
      </w:r>
      <w:proofErr w:type="spellStart"/>
      <w:r w:rsidRPr="00DE4D05">
        <w:t>Nankang</w:t>
      </w:r>
      <w:proofErr w:type="spellEnd"/>
      <w:r w:rsidRPr="00DE4D05">
        <w:t xml:space="preserve"> (pareizs novērtējums būtu – citi zīmoli, būtu trešajā grupā </w:t>
      </w:r>
      <w:proofErr w:type="spellStart"/>
      <w:r w:rsidRPr="00DE4D05">
        <w:t>jaiekļauj</w:t>
      </w:r>
      <w:proofErr w:type="spellEnd"/>
      <w:r w:rsidRPr="00DE4D05">
        <w:t xml:space="preserve"> pārējie </w:t>
      </w:r>
      <w:proofErr w:type="spellStart"/>
      <w:r w:rsidRPr="00DE4D05">
        <w:t>ķinas</w:t>
      </w:r>
      <w:proofErr w:type="spellEnd"/>
      <w:r w:rsidRPr="00DE4D05">
        <w:t xml:space="preserve"> ražotāju zīmoli.</w:t>
      </w:r>
    </w:p>
    <w:p w14:paraId="54EA2B0D" w14:textId="77777777" w:rsidR="00BC4CBF" w:rsidRPr="00DE4D05" w:rsidRDefault="00BC4CBF" w:rsidP="00BC4CBF">
      <w:pPr>
        <w:rPr>
          <w:lang w:val="en-US"/>
        </w:rPr>
      </w:pPr>
      <w:r w:rsidRPr="00DE4D05">
        <w:t xml:space="preserve">Iepirkumā daļā #4 zīmoli </w:t>
      </w:r>
      <w:proofErr w:type="spellStart"/>
      <w:r w:rsidRPr="00DE4D05">
        <w:t>Trelleborg</w:t>
      </w:r>
      <w:proofErr w:type="spellEnd"/>
      <w:r w:rsidRPr="00DE4D05">
        <w:t xml:space="preserve"> un BKT būtu jāiekļauj 2. grupā, bet zīmols Mitas, </w:t>
      </w:r>
      <w:proofErr w:type="spellStart"/>
      <w:r w:rsidRPr="00DE4D05">
        <w:t>Petlas</w:t>
      </w:r>
      <w:proofErr w:type="spellEnd"/>
      <w:r w:rsidRPr="00DE4D05">
        <w:t xml:space="preserve"> un </w:t>
      </w:r>
      <w:proofErr w:type="spellStart"/>
      <w:r w:rsidRPr="00DE4D05">
        <w:t>Starmaxxs</w:t>
      </w:r>
      <w:proofErr w:type="spellEnd"/>
      <w:r w:rsidRPr="00DE4D05">
        <w:t xml:space="preserve"> 3. </w:t>
      </w:r>
      <w:proofErr w:type="spellStart"/>
      <w:r w:rsidRPr="00DE4D05">
        <w:rPr>
          <w:lang w:val="en-US"/>
        </w:rPr>
        <w:t>Grupā</w:t>
      </w:r>
      <w:proofErr w:type="spellEnd"/>
      <w:r w:rsidRPr="00DE4D05">
        <w:rPr>
          <w:lang w:val="en-US"/>
        </w:rPr>
        <w:t>.</w:t>
      </w:r>
    </w:p>
    <w:p w14:paraId="45BB5598" w14:textId="77777777" w:rsidR="00BC4CBF" w:rsidRPr="00DE4D05" w:rsidRDefault="00BC4CBF" w:rsidP="00BC4CBF">
      <w:pPr>
        <w:spacing w:line="276" w:lineRule="auto"/>
        <w:ind w:left="993"/>
        <w:contextualSpacing/>
        <w:jc w:val="right"/>
        <w:rPr>
          <w:rFonts w:ascii="Calibri" w:hAnsi="Calibri" w:cs="Calibri"/>
          <w:sz w:val="22"/>
        </w:rPr>
      </w:pPr>
      <w:r w:rsidRPr="00DE4D05">
        <w:t>Tabula Nr.1</w:t>
      </w:r>
    </w:p>
    <w:tbl>
      <w:tblPr>
        <w:tblW w:w="836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276"/>
      </w:tblGrid>
      <w:tr w:rsidR="00BC4CBF" w:rsidRPr="00DE4D05" w14:paraId="6E80632E" w14:textId="77777777" w:rsidTr="00B80B6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89ED" w14:textId="77777777" w:rsidR="00BC4CBF" w:rsidRPr="00DE4D05" w:rsidRDefault="00BC4CBF">
            <w:pPr>
              <w:jc w:val="center"/>
              <w:rPr>
                <w:color w:val="000000"/>
              </w:rPr>
            </w:pPr>
            <w:r w:rsidRPr="00DE4D05">
              <w:rPr>
                <w:color w:val="000000"/>
              </w:rPr>
              <w:t>Nr. p.k.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1D8B" w14:textId="77777777" w:rsidR="00BC4CBF" w:rsidRPr="00DE4D05" w:rsidRDefault="00BC4CBF">
            <w:pPr>
              <w:jc w:val="center"/>
              <w:rPr>
                <w:color w:val="000000"/>
              </w:rPr>
            </w:pPr>
            <w:r w:rsidRPr="00DE4D05">
              <w:rPr>
                <w:color w:val="000000"/>
              </w:rPr>
              <w:t>Riepu ražotāja novērtējums (R)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92C2B" w14:textId="77777777" w:rsidR="00BC4CBF" w:rsidRPr="00DE4D05" w:rsidRDefault="00BC4CBF">
            <w:pPr>
              <w:jc w:val="center"/>
              <w:rPr>
                <w:color w:val="000000"/>
              </w:rPr>
            </w:pPr>
            <w:r w:rsidRPr="00DE4D05">
              <w:rPr>
                <w:color w:val="000000"/>
              </w:rPr>
              <w:t>Punktu skaits (</w:t>
            </w:r>
            <w:proofErr w:type="spellStart"/>
            <w:r w:rsidRPr="00DE4D05">
              <w:rPr>
                <w:color w:val="000000"/>
              </w:rPr>
              <w:t>P</w:t>
            </w:r>
            <w:r w:rsidRPr="00DE4D05">
              <w:rPr>
                <w:color w:val="000000"/>
                <w:vertAlign w:val="subscript"/>
              </w:rPr>
              <w:t>sr</w:t>
            </w:r>
            <w:proofErr w:type="spellEnd"/>
            <w:r w:rsidRPr="00DE4D05">
              <w:rPr>
                <w:color w:val="000000"/>
              </w:rPr>
              <w:t>)</w:t>
            </w:r>
          </w:p>
        </w:tc>
      </w:tr>
      <w:tr w:rsidR="00BC4CBF" w:rsidRPr="00DE4D05" w14:paraId="42066690" w14:textId="77777777" w:rsidTr="00B80B6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DBB0" w14:textId="77777777" w:rsidR="00BC4CBF" w:rsidRPr="00DE4D05" w:rsidRDefault="00BC4CBF">
            <w:pPr>
              <w:jc w:val="center"/>
              <w:rPr>
                <w:color w:val="000000"/>
              </w:rPr>
            </w:pPr>
            <w:r w:rsidRPr="00DE4D05">
              <w:rPr>
                <w:color w:val="000000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D211" w14:textId="77777777" w:rsidR="00BC4CBF" w:rsidRPr="00DE4D05" w:rsidRDefault="00BC4CBF">
            <w:pPr>
              <w:rPr>
                <w:color w:val="000000"/>
              </w:rPr>
            </w:pPr>
            <w:r w:rsidRPr="00DE4D05">
              <w:rPr>
                <w:color w:val="000000"/>
              </w:rPr>
              <w:t xml:space="preserve">Michelin, </w:t>
            </w:r>
            <w:proofErr w:type="spellStart"/>
            <w:r w:rsidRPr="00DE4D05">
              <w:rPr>
                <w:color w:val="000000"/>
              </w:rPr>
              <w:t>Good</w:t>
            </w:r>
            <w:proofErr w:type="spellEnd"/>
            <w:r w:rsidRPr="00DE4D05">
              <w:rPr>
                <w:color w:val="000000"/>
              </w:rPr>
              <w:t xml:space="preserve"> </w:t>
            </w:r>
            <w:proofErr w:type="spellStart"/>
            <w:r w:rsidRPr="00DE4D05">
              <w:rPr>
                <w:color w:val="000000"/>
              </w:rPr>
              <w:t>Year</w:t>
            </w:r>
            <w:proofErr w:type="spellEnd"/>
            <w:r w:rsidRPr="00DE4D05">
              <w:rPr>
                <w:color w:val="000000"/>
              </w:rPr>
              <w:t xml:space="preserve">, Continental, Bridgestone, </w:t>
            </w:r>
            <w:proofErr w:type="spellStart"/>
            <w:r w:rsidRPr="00DE4D05">
              <w:rPr>
                <w:color w:val="000000"/>
              </w:rPr>
              <w:t>Nokian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Pirelli</w:t>
            </w:r>
            <w:proofErr w:type="spellEnd"/>
            <w:r w:rsidRPr="00DE4D05">
              <w:rPr>
                <w:color w:val="000000"/>
              </w:rPr>
              <w:t>, Dunlop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BBED" w14:textId="77777777" w:rsidR="00BC4CBF" w:rsidRPr="00DE4D05" w:rsidRDefault="00BC4CBF">
            <w:pPr>
              <w:jc w:val="center"/>
              <w:rPr>
                <w:color w:val="000000"/>
              </w:rPr>
            </w:pPr>
            <w:r w:rsidRPr="00DE4D05">
              <w:rPr>
                <w:color w:val="000000"/>
              </w:rPr>
              <w:t>15</w:t>
            </w:r>
          </w:p>
        </w:tc>
      </w:tr>
      <w:tr w:rsidR="00BC4CBF" w:rsidRPr="00DE4D05" w14:paraId="014D66D6" w14:textId="77777777" w:rsidTr="00B80B6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78A2" w14:textId="77777777" w:rsidR="00BC4CBF" w:rsidRPr="00DE4D05" w:rsidRDefault="00BC4CBF">
            <w:pPr>
              <w:jc w:val="center"/>
              <w:rPr>
                <w:color w:val="000000"/>
              </w:rPr>
            </w:pPr>
            <w:bookmarkStart w:id="0" w:name="_GoBack" w:colFirst="2" w:colLast="2"/>
            <w:r w:rsidRPr="00DE4D05">
              <w:rPr>
                <w:color w:val="000000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9BEB" w14:textId="77777777" w:rsidR="00BC4CBF" w:rsidRPr="00DE4D05" w:rsidRDefault="00BC4CBF">
            <w:pPr>
              <w:rPr>
                <w:color w:val="000000"/>
              </w:rPr>
            </w:pPr>
            <w:proofErr w:type="spellStart"/>
            <w:r w:rsidRPr="00DE4D05">
              <w:rPr>
                <w:color w:val="000000"/>
              </w:rPr>
              <w:t>Hankook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Kumho</w:t>
            </w:r>
            <w:proofErr w:type="spellEnd"/>
            <w:r w:rsidRPr="00DE4D05">
              <w:rPr>
                <w:color w:val="000000"/>
              </w:rPr>
              <w:t>, BF </w:t>
            </w:r>
            <w:proofErr w:type="spellStart"/>
            <w:r w:rsidRPr="00DE4D05">
              <w:rPr>
                <w:color w:val="000000"/>
              </w:rPr>
              <w:t>Goodrich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Kleber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Firestone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Fulda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Yokohama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Vredestein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Falken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Gislaved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Maxxis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Unirojal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Nordman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Toyo</w:t>
            </w:r>
            <w:proofErr w:type="spellEnd"/>
            <w:r w:rsidRPr="00DE4D05">
              <w:rPr>
                <w:color w:val="000000"/>
              </w:rPr>
              <w:t xml:space="preserve"> </w:t>
            </w:r>
            <w:proofErr w:type="spellStart"/>
            <w:r w:rsidRPr="00DE4D05">
              <w:rPr>
                <w:color w:val="000000"/>
              </w:rPr>
              <w:t>Tires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61A3" w14:textId="77777777" w:rsidR="00BC4CBF" w:rsidRPr="00DE4D05" w:rsidRDefault="00BC4CBF">
            <w:pPr>
              <w:jc w:val="center"/>
              <w:rPr>
                <w:color w:val="000000"/>
              </w:rPr>
            </w:pPr>
            <w:r w:rsidRPr="00DE4D05">
              <w:rPr>
                <w:color w:val="000000"/>
              </w:rPr>
              <w:t>10</w:t>
            </w:r>
          </w:p>
        </w:tc>
      </w:tr>
      <w:bookmarkEnd w:id="0"/>
      <w:tr w:rsidR="00BC4CBF" w:rsidRPr="00DE4D05" w14:paraId="222FE255" w14:textId="77777777" w:rsidTr="00B80B60">
        <w:trPr>
          <w:trHeight w:val="10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D133" w14:textId="77777777" w:rsidR="00BC4CBF" w:rsidRPr="00DE4D05" w:rsidRDefault="00BC4CBF">
            <w:pPr>
              <w:jc w:val="center"/>
              <w:rPr>
                <w:color w:val="000000"/>
              </w:rPr>
            </w:pPr>
            <w:r w:rsidRPr="00DE4D05">
              <w:rPr>
                <w:color w:val="000000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4082" w14:textId="77777777" w:rsidR="00BC4CBF" w:rsidRPr="00DE4D05" w:rsidRDefault="00BC4CBF">
            <w:pPr>
              <w:rPr>
                <w:color w:val="000000"/>
              </w:rPr>
            </w:pPr>
            <w:proofErr w:type="spellStart"/>
            <w:r w:rsidRPr="00DE4D05">
              <w:rPr>
                <w:color w:val="000000"/>
              </w:rPr>
              <w:t>Marshal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Admiral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General</w:t>
            </w:r>
            <w:proofErr w:type="spellEnd"/>
            <w:r w:rsidRPr="00DE4D05">
              <w:rPr>
                <w:color w:val="000000"/>
              </w:rPr>
              <w:t xml:space="preserve"> </w:t>
            </w:r>
            <w:proofErr w:type="spellStart"/>
            <w:r w:rsidRPr="00DE4D05">
              <w:rPr>
                <w:color w:val="000000"/>
              </w:rPr>
              <w:t>Tyre</w:t>
            </w:r>
            <w:proofErr w:type="spellEnd"/>
            <w:r w:rsidRPr="00DE4D05">
              <w:rPr>
                <w:color w:val="000000"/>
              </w:rPr>
              <w:t xml:space="preserve">, Matador, </w:t>
            </w:r>
            <w:proofErr w:type="spellStart"/>
            <w:r w:rsidRPr="00DE4D05">
              <w:rPr>
                <w:color w:val="000000"/>
              </w:rPr>
              <w:t>Semperit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Sportiva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Seiberling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Sailun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Dayton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Debica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Barum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Kormoran</w:t>
            </w:r>
            <w:proofErr w:type="spellEnd"/>
            <w:r w:rsidRPr="00DE4D05">
              <w:rPr>
                <w:color w:val="000000"/>
              </w:rPr>
              <w:t>, GT </w:t>
            </w:r>
            <w:proofErr w:type="spellStart"/>
            <w:r w:rsidRPr="00DE4D05">
              <w:rPr>
                <w:color w:val="000000"/>
              </w:rPr>
              <w:t>Radial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Nexen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Nankang</w:t>
            </w:r>
            <w:proofErr w:type="spellEnd"/>
            <w:r w:rsidRPr="00DE4D05">
              <w:rPr>
                <w:color w:val="000000"/>
              </w:rPr>
              <w:t xml:space="preserve">, </w:t>
            </w:r>
            <w:proofErr w:type="spellStart"/>
            <w:r w:rsidRPr="00DE4D05">
              <w:rPr>
                <w:color w:val="000000"/>
              </w:rPr>
              <w:t>Aeolus</w:t>
            </w:r>
            <w:proofErr w:type="spellEnd"/>
            <w:r w:rsidRPr="00DE4D05">
              <w:rPr>
                <w:color w:val="000000"/>
              </w:rPr>
              <w:t xml:space="preserve">, Viking, </w:t>
            </w:r>
            <w:proofErr w:type="spellStart"/>
            <w:r w:rsidRPr="00DE4D05">
              <w:rPr>
                <w:color w:val="000000"/>
              </w:rPr>
              <w:t>Laufen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9C4B" w14:textId="77777777" w:rsidR="00BC4CBF" w:rsidRPr="00DE4D05" w:rsidRDefault="00BC4CBF">
            <w:pPr>
              <w:jc w:val="center"/>
              <w:rPr>
                <w:color w:val="000000"/>
              </w:rPr>
            </w:pPr>
            <w:r w:rsidRPr="00DE4D05">
              <w:rPr>
                <w:color w:val="000000"/>
              </w:rPr>
              <w:t>5</w:t>
            </w:r>
          </w:p>
        </w:tc>
      </w:tr>
      <w:tr w:rsidR="00BC4CBF" w:rsidRPr="00DE4D05" w14:paraId="0A8F3E89" w14:textId="77777777" w:rsidTr="00B80B6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A9EBD" w14:textId="77777777" w:rsidR="00BC4CBF" w:rsidRPr="00DE4D05" w:rsidRDefault="00BC4CBF">
            <w:pPr>
              <w:jc w:val="center"/>
              <w:rPr>
                <w:color w:val="000000"/>
              </w:rPr>
            </w:pPr>
            <w:r w:rsidRPr="00DE4D05">
              <w:rPr>
                <w:color w:val="000000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738F" w14:textId="77777777" w:rsidR="00BC4CBF" w:rsidRPr="00DE4D05" w:rsidRDefault="00BC4CBF">
            <w:pPr>
              <w:rPr>
                <w:color w:val="000000"/>
              </w:rPr>
            </w:pPr>
            <w:r w:rsidRPr="00DE4D05">
              <w:rPr>
                <w:color w:val="000000"/>
              </w:rPr>
              <w:t>Citu ražotāju zīmoli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5DF96" w14:textId="77777777" w:rsidR="00BC4CBF" w:rsidRPr="00DE4D05" w:rsidRDefault="00BC4CBF">
            <w:pPr>
              <w:jc w:val="center"/>
              <w:rPr>
                <w:color w:val="000000"/>
              </w:rPr>
            </w:pPr>
            <w:r w:rsidRPr="00DE4D05">
              <w:rPr>
                <w:color w:val="000000"/>
              </w:rPr>
              <w:t>0</w:t>
            </w:r>
          </w:p>
        </w:tc>
      </w:tr>
    </w:tbl>
    <w:p w14:paraId="345EB45C" w14:textId="77777777" w:rsidR="00BC4CBF" w:rsidRPr="00DE4D05" w:rsidRDefault="00BC4CBF" w:rsidP="00BC4CBF">
      <w:pPr>
        <w:rPr>
          <w:rFonts w:ascii="Calibri" w:hAnsi="Calibri" w:cs="Calibri"/>
          <w:sz w:val="22"/>
          <w:lang w:val="en-US"/>
        </w:rPr>
      </w:pPr>
    </w:p>
    <w:p w14:paraId="31AFE4A8" w14:textId="163BD9A8" w:rsidR="0098236C" w:rsidRPr="00DE4D05" w:rsidRDefault="00BC4CBF" w:rsidP="00BC4CBF">
      <w:pPr>
        <w:ind w:right="282"/>
        <w:jc w:val="left"/>
        <w:rPr>
          <w:rFonts w:eastAsia="Calibri"/>
          <w:b/>
        </w:rPr>
      </w:pPr>
      <w:r w:rsidRPr="00DE4D05">
        <w:rPr>
          <w:rFonts w:eastAsia="Calibri"/>
          <w:b/>
        </w:rPr>
        <w:t>1.atbilde</w:t>
      </w:r>
    </w:p>
    <w:p w14:paraId="052547BD" w14:textId="023DC30E" w:rsidR="00BC4CBF" w:rsidRPr="00DE4D05" w:rsidRDefault="00BC4CBF" w:rsidP="00221889">
      <w:pPr>
        <w:rPr>
          <w:rFonts w:ascii="Arial" w:hAnsi="Arial" w:cs="Arial"/>
        </w:rPr>
      </w:pPr>
    </w:p>
    <w:p w14:paraId="7872C693" w14:textId="137D0190" w:rsidR="00BC4CBF" w:rsidRPr="00DE4D05" w:rsidRDefault="00BC4CBF" w:rsidP="00B80B60">
      <w:r w:rsidRPr="00DE4D05">
        <w:t xml:space="preserve">Riepu ražotāju novērtējuma tabula netiks </w:t>
      </w:r>
      <w:r w:rsidR="00656753" w:rsidRPr="00DE4D05">
        <w:t>mainīta</w:t>
      </w:r>
      <w:r w:rsidRPr="00DE4D05">
        <w:t xml:space="preserve">.  </w:t>
      </w:r>
    </w:p>
    <w:p w14:paraId="1DF8CE03" w14:textId="2077E4A0" w:rsidR="00BC4CBF" w:rsidRPr="00DE4D05" w:rsidRDefault="00BC4CBF" w:rsidP="00B80B60">
      <w:r w:rsidRPr="00DE4D05">
        <w:t xml:space="preserve">Pretendentam </w:t>
      </w:r>
      <w:r w:rsidR="00656753" w:rsidRPr="00DE4D05">
        <w:t xml:space="preserve">kopā ar piedāvājumu </w:t>
      </w:r>
      <w:r w:rsidRPr="00DE4D05">
        <w:t>ir tiesības ie</w:t>
      </w:r>
      <w:r w:rsidR="00656753" w:rsidRPr="00DE4D05">
        <w:t>s</w:t>
      </w:r>
      <w:r w:rsidRPr="00DE4D05">
        <w:t>niegt papildus dokumentus</w:t>
      </w:r>
      <w:r w:rsidR="00621D4C">
        <w:t>/pierādījumus</w:t>
      </w:r>
      <w:r w:rsidRPr="00DE4D05">
        <w:t>, kas pierāda riepu ražotāj</w:t>
      </w:r>
      <w:r w:rsidR="00656753" w:rsidRPr="00DE4D05">
        <w:t>a</w:t>
      </w:r>
      <w:r w:rsidRPr="00DE4D05">
        <w:t xml:space="preserve"> kvalitāti un novērtējumu, kas piedāvājum</w:t>
      </w:r>
      <w:r w:rsidR="00656753" w:rsidRPr="00DE4D05">
        <w:t>a</w:t>
      </w:r>
      <w:r w:rsidRPr="00DE4D05">
        <w:t xml:space="preserve"> vērtēšanas gaitā tiks vērtēts.</w:t>
      </w:r>
    </w:p>
    <w:p w14:paraId="167095B4" w14:textId="4BF2AECA" w:rsidR="00BC4CBF" w:rsidRPr="00DE4D05" w:rsidRDefault="00BC4CBF" w:rsidP="00221889">
      <w:pPr>
        <w:rPr>
          <w:rFonts w:ascii="Arial" w:hAnsi="Arial" w:cs="Arial"/>
        </w:rPr>
      </w:pPr>
    </w:p>
    <w:p w14:paraId="38285F0A" w14:textId="7FD2CC6F" w:rsidR="00BC4CBF" w:rsidRPr="00DE4D05" w:rsidRDefault="00BC4CBF" w:rsidP="00221889">
      <w:pPr>
        <w:rPr>
          <w:rFonts w:ascii="Arial" w:hAnsi="Arial" w:cs="Arial"/>
        </w:rPr>
      </w:pPr>
    </w:p>
    <w:p w14:paraId="54F9BB4E" w14:textId="3B1E0E0C" w:rsidR="00BC4CBF" w:rsidRPr="00DE4D05" w:rsidRDefault="00BC4CBF" w:rsidP="00BC4CBF">
      <w:pPr>
        <w:ind w:right="282"/>
        <w:jc w:val="left"/>
        <w:rPr>
          <w:rFonts w:eastAsia="Calibri"/>
          <w:b/>
        </w:rPr>
      </w:pPr>
      <w:r w:rsidRPr="00DE4D05">
        <w:rPr>
          <w:rFonts w:eastAsia="Calibri"/>
          <w:b/>
        </w:rPr>
        <w:t>2.jautājums</w:t>
      </w:r>
    </w:p>
    <w:p w14:paraId="007DB5A9" w14:textId="08872910" w:rsidR="00BC4CBF" w:rsidRPr="00DE4D05" w:rsidRDefault="00BC4CBF" w:rsidP="00BC4CBF">
      <w:pPr>
        <w:rPr>
          <w:sz w:val="22"/>
        </w:rPr>
      </w:pPr>
      <w:r w:rsidRPr="00DE4D05">
        <w:t xml:space="preserve">Ir prasība ka visām riepām jābūt radiālām, bet iepirkumā daļā 3 un 4 nolikumā ir prasītas </w:t>
      </w:r>
      <w:proofErr w:type="spellStart"/>
      <w:r w:rsidRPr="00DE4D05">
        <w:t>diognālās</w:t>
      </w:r>
      <w:proofErr w:type="spellEnd"/>
      <w:r w:rsidRPr="00DE4D05">
        <w:t xml:space="preserve"> riepas un daļā no izmēriem </w:t>
      </w:r>
      <w:proofErr w:type="spellStart"/>
      <w:r w:rsidRPr="00DE4D05">
        <w:t>radīālās</w:t>
      </w:r>
      <w:proofErr w:type="spellEnd"/>
      <w:r w:rsidRPr="00DE4D05">
        <w:t xml:space="preserve"> riepas nav pieejamas.</w:t>
      </w:r>
    </w:p>
    <w:p w14:paraId="71AED25C" w14:textId="77777777" w:rsidR="00BC4CBF" w:rsidRPr="00DE4D05" w:rsidRDefault="00BC4CBF" w:rsidP="00BC4CBF"/>
    <w:p w14:paraId="5AC8F594" w14:textId="77777777" w:rsidR="00BC4CBF" w:rsidRPr="00DE4D05" w:rsidRDefault="00BC4CBF" w:rsidP="00BC4CBF"/>
    <w:p w14:paraId="6A821231" w14:textId="77777777" w:rsidR="00BC4CBF" w:rsidRPr="00DE4D05" w:rsidRDefault="00BC4CBF" w:rsidP="00B80B60">
      <w:pPr>
        <w:jc w:val="center"/>
        <w:rPr>
          <w:b/>
          <w:bCs/>
          <w:szCs w:val="24"/>
        </w:rPr>
      </w:pPr>
      <w:r w:rsidRPr="00DE4D05">
        <w:rPr>
          <w:b/>
          <w:bCs/>
        </w:rPr>
        <w:t>Pasūtītāja minimālās izvirzītās tehniskās prasības</w:t>
      </w:r>
    </w:p>
    <w:p w14:paraId="1B00E36E" w14:textId="77777777" w:rsidR="00BC4CBF" w:rsidRPr="00DE4D05" w:rsidRDefault="00BC4CBF" w:rsidP="00BC4CBF">
      <w:pPr>
        <w:ind w:left="720"/>
        <w:jc w:val="center"/>
        <w:rPr>
          <w:rFonts w:ascii="Calibri" w:hAnsi="Calibri" w:cs="Calibri"/>
          <w:sz w:val="22"/>
        </w:rPr>
      </w:pPr>
    </w:p>
    <w:tbl>
      <w:tblPr>
        <w:tblW w:w="881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3"/>
      </w:tblGrid>
      <w:tr w:rsidR="00BC4CBF" w:rsidRPr="00DE4D05" w14:paraId="03599896" w14:textId="77777777" w:rsidTr="00B80B60">
        <w:tc>
          <w:tcPr>
            <w:tcW w:w="8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1AF95" w14:textId="77777777" w:rsidR="00BC4CBF" w:rsidRPr="00DE4D05" w:rsidRDefault="00BC4CBF">
            <w:r w:rsidRPr="00DE4D05">
              <w:t>Piedāvātajām riepām veikta atbilstības novērtēšana atbilstoši Komisijas Regulas (ES) Nr.458/2011 (12.05.2011.), Eiropas Parlamenta un Padomes 13.07.2009. Regulas (EK) Nr.661/2009 un ANO/EEK Noteikumu Nr.30 prasībām, kā arī jāatbilst visiem standartiem un prasībām, kas attiecas uz šādu preču tirdzniecību un ir spēkā Latvijas teritorijā.</w:t>
            </w:r>
          </w:p>
        </w:tc>
      </w:tr>
      <w:tr w:rsidR="00BC4CBF" w:rsidRPr="00DE4D05" w14:paraId="5D8B3486" w14:textId="77777777" w:rsidTr="00B80B60">
        <w:tc>
          <w:tcPr>
            <w:tcW w:w="881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F6179" w14:textId="77777777" w:rsidR="00BC4CBF" w:rsidRPr="00DE4D05" w:rsidRDefault="00BC4CBF">
            <w:r w:rsidRPr="00DE4D05">
              <w:t xml:space="preserve">Piedāvātajām riepām jāatbilst Latvijas Republikas Ministru kabineta 29.04.2004. Noteikumu Nr.466 „Noteikumi par transportlīdzekļu valsts tehnisko apskati un tehnisko </w:t>
            </w:r>
            <w:r w:rsidRPr="00DE4D05">
              <w:lastRenderedPageBreak/>
              <w:t>kontroli uz ceļiem” pielikuma 501.punktam „Riepas – izmērs un konstrukcija” attiecībā uz Latvijas Republikā ekspluatējamām riepām</w:t>
            </w:r>
          </w:p>
        </w:tc>
      </w:tr>
      <w:tr w:rsidR="00BC4CBF" w:rsidRPr="00DE4D05" w14:paraId="5F992D47" w14:textId="77777777" w:rsidTr="00B80B60">
        <w:tc>
          <w:tcPr>
            <w:tcW w:w="881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E327" w14:textId="77777777" w:rsidR="00BC4CBF" w:rsidRPr="00DE4D05" w:rsidRDefault="00BC4CBF">
            <w:r w:rsidRPr="00DE4D05">
              <w:lastRenderedPageBreak/>
              <w:t>Piedāvātajām riepām ir jābūt ar ražotāja marķējumu atbilstoši Eiropas Parlamenta un Padomes (EK) Regulas Nr.1222/2009 „Par riepu marķēšanu attiecībā uz degvielas patēriņa efektivitāti un citiem būtiskiem parametriem” prasībām.</w:t>
            </w:r>
          </w:p>
        </w:tc>
      </w:tr>
      <w:tr w:rsidR="00BC4CBF" w:rsidRPr="00DE4D05" w14:paraId="2887CD37" w14:textId="77777777" w:rsidTr="00B80B60">
        <w:tc>
          <w:tcPr>
            <w:tcW w:w="881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DC08" w14:textId="77777777" w:rsidR="00BC4CBF" w:rsidRPr="00DE4D05" w:rsidRDefault="00BC4CBF">
            <w:r w:rsidRPr="00DE4D05">
              <w:t>Riepu ražošanas laiks ne agrāk par 2019.gadu, pilnīgi jaunas, iepriekš nelietotas, neatjaunotas</w:t>
            </w:r>
          </w:p>
        </w:tc>
      </w:tr>
      <w:tr w:rsidR="00BC4CBF" w:rsidRPr="00DE4D05" w14:paraId="16EE8B5E" w14:textId="77777777" w:rsidTr="00B80B60">
        <w:tc>
          <w:tcPr>
            <w:tcW w:w="881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87432" w14:textId="77777777" w:rsidR="00BC4CBF" w:rsidRPr="00DE4D05" w:rsidRDefault="00BC4CBF">
            <w:r w:rsidRPr="00DE4D05">
              <w:t>Ar riepu sānu malā iestrādātu ANO/EEK vai ES apstiprinājuma marķējumu</w:t>
            </w:r>
          </w:p>
        </w:tc>
      </w:tr>
      <w:tr w:rsidR="00BC4CBF" w:rsidRPr="00DE4D05" w14:paraId="40C2723F" w14:textId="77777777" w:rsidTr="00B80B60">
        <w:tc>
          <w:tcPr>
            <w:tcW w:w="881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54986" w14:textId="77777777" w:rsidR="00BC4CBF" w:rsidRPr="00DE4D05" w:rsidRDefault="00BC4CBF">
            <w:r w:rsidRPr="00DE4D05">
              <w:t>Piedāvātajām riepām jābūt sertificētām, ar ražošanas datuma norādi, ar nodiluma rādītāju, bezkameru, radiālām</w:t>
            </w:r>
          </w:p>
        </w:tc>
      </w:tr>
      <w:tr w:rsidR="00BC4CBF" w:rsidRPr="00DE4D05" w14:paraId="34586929" w14:textId="77777777" w:rsidTr="00B80B60">
        <w:trPr>
          <w:trHeight w:val="301"/>
        </w:trPr>
        <w:tc>
          <w:tcPr>
            <w:tcW w:w="881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A92F" w14:textId="77777777" w:rsidR="00BC4CBF" w:rsidRPr="00DE4D05" w:rsidRDefault="00BC4CBF">
            <w:r w:rsidRPr="00DE4D05">
              <w:t>Garantija - vismaz 24 (divdesmit četri) mēneši no riepas piegādes dienas</w:t>
            </w:r>
          </w:p>
        </w:tc>
      </w:tr>
      <w:tr w:rsidR="00BC4CBF" w:rsidRPr="00DE4D05" w14:paraId="7600D401" w14:textId="77777777" w:rsidTr="00B80B60">
        <w:tc>
          <w:tcPr>
            <w:tcW w:w="881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11C0" w14:textId="77777777" w:rsidR="00BC4CBF" w:rsidRPr="00DE4D05" w:rsidRDefault="00BC4CBF">
            <w:r w:rsidRPr="00DE4D05">
              <w:t>Piegādes termiņš: 10 (desmit) kalendāra dienu laikā no pieprasījuma saņemšanas dienas (atsevišķās partijās).</w:t>
            </w:r>
          </w:p>
        </w:tc>
      </w:tr>
    </w:tbl>
    <w:p w14:paraId="0B0DC0FF" w14:textId="443F0AE0" w:rsidR="00BC4CBF" w:rsidRPr="00DE4D05" w:rsidRDefault="00BC4CBF" w:rsidP="00221889">
      <w:pPr>
        <w:rPr>
          <w:rFonts w:ascii="Arial" w:hAnsi="Arial" w:cs="Arial"/>
        </w:rPr>
      </w:pPr>
    </w:p>
    <w:p w14:paraId="419118D4" w14:textId="7672549B" w:rsidR="00BC4CBF" w:rsidRPr="00DE4D05" w:rsidRDefault="00BC4CBF" w:rsidP="00221889">
      <w:pPr>
        <w:rPr>
          <w:rFonts w:ascii="Arial" w:hAnsi="Arial" w:cs="Arial"/>
        </w:rPr>
      </w:pPr>
    </w:p>
    <w:p w14:paraId="1B24A51D" w14:textId="10DA5097" w:rsidR="00BC4CBF" w:rsidRPr="00DE4D05" w:rsidRDefault="00BC4CBF" w:rsidP="00BC4CBF">
      <w:pPr>
        <w:ind w:right="282"/>
        <w:jc w:val="left"/>
        <w:rPr>
          <w:rFonts w:eastAsia="Calibri"/>
          <w:b/>
        </w:rPr>
      </w:pPr>
      <w:r w:rsidRPr="00DE4D05">
        <w:rPr>
          <w:rFonts w:eastAsia="Calibri"/>
          <w:b/>
        </w:rPr>
        <w:t>2.atbilde</w:t>
      </w:r>
    </w:p>
    <w:p w14:paraId="22525BDE" w14:textId="4C9B112A" w:rsidR="00BC4CBF" w:rsidRPr="00DE4D05" w:rsidRDefault="00BC4CBF" w:rsidP="00BC4CBF">
      <w:pPr>
        <w:ind w:right="282"/>
        <w:jc w:val="left"/>
        <w:rPr>
          <w:rFonts w:eastAsia="Calibri"/>
          <w:b/>
        </w:rPr>
      </w:pPr>
    </w:p>
    <w:p w14:paraId="7AB2DE0A" w14:textId="654B7997" w:rsidR="00BC4CBF" w:rsidRPr="00DE4D05" w:rsidRDefault="00BC4CBF" w:rsidP="00BC4CBF">
      <w:r w:rsidRPr="00DE4D05">
        <w:t xml:space="preserve">Minētajās </w:t>
      </w:r>
      <w:r w:rsidR="005E3298" w:rsidRPr="00DE4D05">
        <w:t xml:space="preserve">iepirkuma priekšmeta daļas </w:t>
      </w:r>
      <w:r w:rsidRPr="00DE4D05">
        <w:t>pozīcijās</w:t>
      </w:r>
      <w:r w:rsidR="005E3298" w:rsidRPr="00DE4D05">
        <w:t>,</w:t>
      </w:r>
      <w:r w:rsidRPr="00DE4D05">
        <w:t xml:space="preserve"> kur</w:t>
      </w:r>
      <w:r w:rsidR="005E3298" w:rsidRPr="00DE4D05">
        <w:t xml:space="preserve"> atsevišķos</w:t>
      </w:r>
      <w:r w:rsidRPr="00DE4D05">
        <w:t xml:space="preserve"> izmēros n</w:t>
      </w:r>
      <w:r w:rsidR="005E3298" w:rsidRPr="00DE4D05">
        <w:t>av iespējams</w:t>
      </w:r>
      <w:r w:rsidRPr="00DE4D05">
        <w:t xml:space="preserve"> piedāvāt radiālās</w:t>
      </w:r>
      <w:r w:rsidR="005E3298" w:rsidRPr="00DE4D05">
        <w:t xml:space="preserve"> riepas, </w:t>
      </w:r>
      <w:r w:rsidR="00621D4C">
        <w:t>jāiesniedz</w:t>
      </w:r>
      <w:r w:rsidR="005E3298" w:rsidRPr="00DE4D05">
        <w:t xml:space="preserve"> </w:t>
      </w:r>
      <w:r w:rsidR="00621D4C" w:rsidRPr="00DE4D05">
        <w:t>piedāvājum</w:t>
      </w:r>
      <w:r w:rsidR="00621D4C">
        <w:t>s</w:t>
      </w:r>
      <w:r w:rsidR="00656753" w:rsidRPr="00DE4D05">
        <w:t>,</w:t>
      </w:r>
      <w:r w:rsidR="005E3298" w:rsidRPr="00DE4D05">
        <w:t xml:space="preserve"> kāds</w:t>
      </w:r>
      <w:r w:rsidR="00656753" w:rsidRPr="00DE4D05">
        <w:t>,</w:t>
      </w:r>
      <w:r w:rsidR="005E3298" w:rsidRPr="00DE4D05">
        <w:t xml:space="preserve"> jūsuprāt</w:t>
      </w:r>
      <w:r w:rsidR="00656753" w:rsidRPr="00DE4D05">
        <w:t>,</w:t>
      </w:r>
      <w:r w:rsidR="005E3298" w:rsidRPr="00DE4D05">
        <w:t xml:space="preserve"> atbilst attiecīgajai specifikācijai</w:t>
      </w:r>
      <w:r w:rsidR="00621D4C">
        <w:t>.</w:t>
      </w:r>
      <w:r w:rsidR="005E3298" w:rsidRPr="00DE4D05">
        <w:t xml:space="preserve"> </w:t>
      </w:r>
      <w:r w:rsidR="00621D4C">
        <w:t>P</w:t>
      </w:r>
      <w:r w:rsidR="005E3298" w:rsidRPr="00DE4D05">
        <w:t>iedāvājum</w:t>
      </w:r>
      <w:r w:rsidR="00B80B60" w:rsidRPr="00DE4D05">
        <w:t>a</w:t>
      </w:r>
      <w:r w:rsidR="005E3298" w:rsidRPr="00DE4D05">
        <w:t xml:space="preserve"> vērtēšanas gaitā iepirkuma komisija ņems </w:t>
      </w:r>
      <w:r w:rsidR="00621D4C">
        <w:t xml:space="preserve">vērā </w:t>
      </w:r>
      <w:r w:rsidR="005E3298" w:rsidRPr="00DE4D05">
        <w:t>minēto</w:t>
      </w:r>
      <w:r w:rsidR="00621D4C">
        <w:t>s</w:t>
      </w:r>
      <w:r w:rsidR="005E3298" w:rsidRPr="00DE4D05">
        <w:t xml:space="preserve"> faktu</w:t>
      </w:r>
      <w:r w:rsidR="00621D4C">
        <w:t>s</w:t>
      </w:r>
      <w:r w:rsidR="005E3298" w:rsidRPr="00DE4D05">
        <w:t xml:space="preserve"> un </w:t>
      </w:r>
      <w:r w:rsidR="00B80B60" w:rsidRPr="00DE4D05">
        <w:t xml:space="preserve">to </w:t>
      </w:r>
      <w:r w:rsidR="005E3298" w:rsidRPr="00DE4D05">
        <w:t>izvērtēs.</w:t>
      </w:r>
    </w:p>
    <w:p w14:paraId="73EE56F7" w14:textId="2ED85CFC" w:rsidR="00BC4CBF" w:rsidRPr="00DE4D05" w:rsidRDefault="00BC4CBF" w:rsidP="00BC4CBF">
      <w:pPr>
        <w:ind w:right="282"/>
        <w:jc w:val="left"/>
        <w:rPr>
          <w:rFonts w:eastAsia="Calibri"/>
          <w:b/>
        </w:rPr>
      </w:pPr>
    </w:p>
    <w:p w14:paraId="3D740304" w14:textId="26A497A2" w:rsidR="00B80B60" w:rsidRPr="00DE4D05" w:rsidRDefault="00B80B60" w:rsidP="00BC4CBF">
      <w:pPr>
        <w:ind w:right="282"/>
        <w:jc w:val="left"/>
        <w:rPr>
          <w:rFonts w:eastAsia="Calibri"/>
          <w:b/>
        </w:rPr>
      </w:pPr>
    </w:p>
    <w:p w14:paraId="1359D9E7" w14:textId="6F9665FD" w:rsidR="00B80B60" w:rsidRPr="00DE4D05" w:rsidRDefault="00B80B60" w:rsidP="00BC4CBF">
      <w:pPr>
        <w:ind w:right="282"/>
        <w:jc w:val="left"/>
        <w:rPr>
          <w:rFonts w:eastAsia="Calibri"/>
          <w:b/>
        </w:rPr>
      </w:pPr>
      <w:r w:rsidRPr="00DE4D05">
        <w:rPr>
          <w:rFonts w:eastAsia="Calibri"/>
          <w:b/>
        </w:rPr>
        <w:t>3. jautājums</w:t>
      </w:r>
    </w:p>
    <w:p w14:paraId="46E75E9A" w14:textId="77777777" w:rsidR="00B80B60" w:rsidRPr="00DE4D05" w:rsidRDefault="00B80B60" w:rsidP="00BC4CBF">
      <w:pPr>
        <w:ind w:right="282"/>
        <w:jc w:val="left"/>
        <w:rPr>
          <w:lang w:val="en-US"/>
        </w:rPr>
      </w:pPr>
    </w:p>
    <w:p w14:paraId="77D37F63" w14:textId="08626C01" w:rsidR="00B80B60" w:rsidRPr="00DE4D05" w:rsidRDefault="00B80B60" w:rsidP="00BC4CBF">
      <w:pPr>
        <w:ind w:right="282"/>
        <w:jc w:val="left"/>
        <w:rPr>
          <w:lang w:val="en-US"/>
        </w:rPr>
      </w:pPr>
      <w:r w:rsidRPr="00DE4D05">
        <w:rPr>
          <w:lang w:val="en-US"/>
        </w:rPr>
        <w:t xml:space="preserve">4.sadaļas </w:t>
      </w:r>
      <w:proofErr w:type="spellStart"/>
      <w:r w:rsidRPr="00DE4D05">
        <w:rPr>
          <w:lang w:val="en-US"/>
        </w:rPr>
        <w:t>riepām</w:t>
      </w:r>
      <w:proofErr w:type="spellEnd"/>
      <w:r w:rsidRPr="00DE4D05">
        <w:rPr>
          <w:lang w:val="en-US"/>
        </w:rPr>
        <w:t xml:space="preserve"> </w:t>
      </w:r>
      <w:proofErr w:type="spellStart"/>
      <w:r w:rsidRPr="00DE4D05">
        <w:rPr>
          <w:lang w:val="en-US"/>
        </w:rPr>
        <w:t>netiek</w:t>
      </w:r>
      <w:proofErr w:type="spellEnd"/>
      <w:r w:rsidRPr="00DE4D05">
        <w:rPr>
          <w:lang w:val="en-US"/>
        </w:rPr>
        <w:t xml:space="preserve"> </w:t>
      </w:r>
      <w:proofErr w:type="spellStart"/>
      <w:r w:rsidRPr="00DE4D05">
        <w:rPr>
          <w:lang w:val="en-US"/>
        </w:rPr>
        <w:t>pielietots</w:t>
      </w:r>
      <w:proofErr w:type="spellEnd"/>
      <w:r w:rsidRPr="00DE4D05">
        <w:rPr>
          <w:lang w:val="en-US"/>
        </w:rPr>
        <w:t xml:space="preserve"> </w:t>
      </w:r>
      <w:proofErr w:type="spellStart"/>
      <w:r w:rsidRPr="00DE4D05">
        <w:rPr>
          <w:lang w:val="en-US"/>
        </w:rPr>
        <w:t>energoefektivitates</w:t>
      </w:r>
      <w:proofErr w:type="spellEnd"/>
      <w:r w:rsidRPr="00DE4D05">
        <w:rPr>
          <w:lang w:val="en-US"/>
        </w:rPr>
        <w:t xml:space="preserve"> </w:t>
      </w:r>
      <w:proofErr w:type="spellStart"/>
      <w:r w:rsidRPr="00DE4D05">
        <w:rPr>
          <w:lang w:val="en-US"/>
        </w:rPr>
        <w:t>marķējums</w:t>
      </w:r>
      <w:proofErr w:type="spellEnd"/>
      <w:r w:rsidRPr="00DE4D05">
        <w:rPr>
          <w:lang w:val="en-US"/>
        </w:rPr>
        <w:t>.</w:t>
      </w:r>
    </w:p>
    <w:p w14:paraId="6BEA86E0" w14:textId="1F45407B" w:rsidR="00B80B60" w:rsidRPr="00DE4D05" w:rsidRDefault="00B80B60" w:rsidP="00BC4CBF">
      <w:pPr>
        <w:ind w:right="282"/>
        <w:jc w:val="left"/>
        <w:rPr>
          <w:lang w:val="en-US"/>
        </w:rPr>
      </w:pPr>
    </w:p>
    <w:p w14:paraId="3EC760F6" w14:textId="2514AAAF" w:rsidR="00B80B60" w:rsidRPr="00DE4D05" w:rsidRDefault="00B80B60" w:rsidP="00BC4CBF">
      <w:pPr>
        <w:ind w:right="282"/>
        <w:jc w:val="left"/>
        <w:rPr>
          <w:rFonts w:eastAsia="Calibri"/>
          <w:b/>
        </w:rPr>
      </w:pPr>
      <w:r w:rsidRPr="00DE4D05">
        <w:rPr>
          <w:rFonts w:eastAsia="Calibri"/>
          <w:b/>
        </w:rPr>
        <w:t>3.atbilde</w:t>
      </w:r>
    </w:p>
    <w:p w14:paraId="24E4B9FE" w14:textId="75C00483" w:rsidR="00B80B60" w:rsidRPr="00DE4D05" w:rsidRDefault="00B80B60" w:rsidP="00BC4CBF">
      <w:pPr>
        <w:ind w:right="282"/>
        <w:jc w:val="left"/>
        <w:rPr>
          <w:rFonts w:eastAsia="Calibri"/>
          <w:b/>
        </w:rPr>
      </w:pPr>
    </w:p>
    <w:p w14:paraId="2FB221B1" w14:textId="4274BCD5" w:rsidR="009035E8" w:rsidRDefault="009035E8" w:rsidP="009035E8">
      <w:pPr>
        <w:rPr>
          <w:rFonts w:ascii="Arial" w:hAnsi="Arial" w:cs="Arial"/>
          <w:sz w:val="20"/>
          <w:szCs w:val="20"/>
        </w:rPr>
      </w:pPr>
      <w:r w:rsidRPr="00DE4D05">
        <w:t>Energoefektivit</w:t>
      </w:r>
      <w:r w:rsidR="00656753" w:rsidRPr="00DE4D05">
        <w:t>ā</w:t>
      </w:r>
      <w:r w:rsidRPr="00DE4D05">
        <w:t>tes marķējumam jābūt saskaņā Eiropas Parlamenta un Padomes (EK) Regulas Nr.1222/2009 „Par riepu marķēšanu attiecībā uz degvielas patēriņa efektivitāti un citiem būtiskiem parametriem” prasībām.</w:t>
      </w:r>
    </w:p>
    <w:p w14:paraId="6279FB1E" w14:textId="77777777" w:rsidR="00B80B60" w:rsidRPr="00BC4CBF" w:rsidRDefault="00B80B60" w:rsidP="009035E8">
      <w:pPr>
        <w:rPr>
          <w:rFonts w:eastAsia="Calibri"/>
          <w:b/>
        </w:rPr>
      </w:pPr>
    </w:p>
    <w:sectPr w:rsidR="00B80B60" w:rsidRPr="00BC4CBF" w:rsidSect="00221889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DA015" w14:textId="77777777" w:rsidR="00243D8D" w:rsidRDefault="00243D8D" w:rsidP="00221889">
      <w:r>
        <w:separator/>
      </w:r>
    </w:p>
  </w:endnote>
  <w:endnote w:type="continuationSeparator" w:id="0">
    <w:p w14:paraId="583CF13A" w14:textId="77777777" w:rsidR="00243D8D" w:rsidRDefault="00243D8D" w:rsidP="0022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5D6A8" w14:textId="77777777" w:rsidR="00243D8D" w:rsidRDefault="00243D8D" w:rsidP="00221889">
      <w:r>
        <w:separator/>
      </w:r>
    </w:p>
  </w:footnote>
  <w:footnote w:type="continuationSeparator" w:id="0">
    <w:p w14:paraId="139C357D" w14:textId="77777777" w:rsidR="00243D8D" w:rsidRDefault="00243D8D" w:rsidP="0022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E91"/>
    <w:multiLevelType w:val="hybridMultilevel"/>
    <w:tmpl w:val="14FEC820"/>
    <w:lvl w:ilvl="0" w:tplc="5DFC1F8E">
      <w:start w:val="1"/>
      <w:numFmt w:val="decimal"/>
      <w:lvlText w:val="%1)"/>
      <w:lvlJc w:val="left"/>
      <w:pPr>
        <w:ind w:left="1352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072" w:hanging="360"/>
      </w:pPr>
    </w:lvl>
    <w:lvl w:ilvl="2" w:tplc="0426001B">
      <w:start w:val="1"/>
      <w:numFmt w:val="lowerRoman"/>
      <w:lvlText w:val="%3."/>
      <w:lvlJc w:val="right"/>
      <w:pPr>
        <w:ind w:left="2792" w:hanging="180"/>
      </w:pPr>
    </w:lvl>
    <w:lvl w:ilvl="3" w:tplc="0426000F">
      <w:start w:val="1"/>
      <w:numFmt w:val="decimal"/>
      <w:lvlText w:val="%4."/>
      <w:lvlJc w:val="left"/>
      <w:pPr>
        <w:ind w:left="3512" w:hanging="360"/>
      </w:pPr>
    </w:lvl>
    <w:lvl w:ilvl="4" w:tplc="04260019">
      <w:start w:val="1"/>
      <w:numFmt w:val="lowerLetter"/>
      <w:lvlText w:val="%5."/>
      <w:lvlJc w:val="left"/>
      <w:pPr>
        <w:ind w:left="4232" w:hanging="360"/>
      </w:pPr>
    </w:lvl>
    <w:lvl w:ilvl="5" w:tplc="0426001B">
      <w:start w:val="1"/>
      <w:numFmt w:val="lowerRoman"/>
      <w:lvlText w:val="%6."/>
      <w:lvlJc w:val="right"/>
      <w:pPr>
        <w:ind w:left="4952" w:hanging="180"/>
      </w:pPr>
    </w:lvl>
    <w:lvl w:ilvl="6" w:tplc="0426000F">
      <w:start w:val="1"/>
      <w:numFmt w:val="decimal"/>
      <w:lvlText w:val="%7."/>
      <w:lvlJc w:val="left"/>
      <w:pPr>
        <w:ind w:left="5672" w:hanging="360"/>
      </w:pPr>
    </w:lvl>
    <w:lvl w:ilvl="7" w:tplc="04260019">
      <w:start w:val="1"/>
      <w:numFmt w:val="lowerLetter"/>
      <w:lvlText w:val="%8."/>
      <w:lvlJc w:val="left"/>
      <w:pPr>
        <w:ind w:left="6392" w:hanging="360"/>
      </w:pPr>
    </w:lvl>
    <w:lvl w:ilvl="8" w:tplc="0426001B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FE7ADC"/>
    <w:multiLevelType w:val="hybridMultilevel"/>
    <w:tmpl w:val="74A6780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270C9"/>
    <w:multiLevelType w:val="hybridMultilevel"/>
    <w:tmpl w:val="62F485B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A39"/>
    <w:multiLevelType w:val="hybridMultilevel"/>
    <w:tmpl w:val="30B0419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14"/>
    <w:rsid w:val="0011654D"/>
    <w:rsid w:val="001A0404"/>
    <w:rsid w:val="001D4014"/>
    <w:rsid w:val="00221889"/>
    <w:rsid w:val="002407AF"/>
    <w:rsid w:val="00243D8D"/>
    <w:rsid w:val="003008CD"/>
    <w:rsid w:val="00307D0F"/>
    <w:rsid w:val="003204EA"/>
    <w:rsid w:val="0034585A"/>
    <w:rsid w:val="003938BA"/>
    <w:rsid w:val="003B51CD"/>
    <w:rsid w:val="005E3298"/>
    <w:rsid w:val="00614643"/>
    <w:rsid w:val="00621D4C"/>
    <w:rsid w:val="00656753"/>
    <w:rsid w:val="00731BEA"/>
    <w:rsid w:val="008951BD"/>
    <w:rsid w:val="008D49D6"/>
    <w:rsid w:val="009035E8"/>
    <w:rsid w:val="0098236C"/>
    <w:rsid w:val="009C7117"/>
    <w:rsid w:val="00AF0BB5"/>
    <w:rsid w:val="00B80B60"/>
    <w:rsid w:val="00BC4CBF"/>
    <w:rsid w:val="00C20434"/>
    <w:rsid w:val="00D215FA"/>
    <w:rsid w:val="00D7220A"/>
    <w:rsid w:val="00DE4D05"/>
    <w:rsid w:val="00E91044"/>
    <w:rsid w:val="00FA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D52B44"/>
  <w15:chartTrackingRefBased/>
  <w15:docId w15:val="{F1535D3A-9A26-4FCC-AB4C-03A52DC8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1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8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88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218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889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2352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Dana Platbārde (IB)</cp:lastModifiedBy>
  <cp:revision>4</cp:revision>
  <dcterms:created xsi:type="dcterms:W3CDTF">2020-10-26T09:12:00Z</dcterms:created>
  <dcterms:modified xsi:type="dcterms:W3CDTF">2020-11-12T09:19:00Z</dcterms:modified>
</cp:coreProperties>
</file>