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7B70" w14:textId="4895F478" w:rsidR="00BC44B2" w:rsidRDefault="00BC44B2" w:rsidP="00BC44B2">
      <w:pPr>
        <w:jc w:val="center"/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bCs/>
          <w:szCs w:val="24"/>
          <w:lang w:eastAsia="lv-LV"/>
        </w:rPr>
        <w:t>Transformatora ēkas jumta remonts Prohorova iel</w:t>
      </w:r>
      <w:r w:rsidR="00C56A5C">
        <w:rPr>
          <w:rFonts w:ascii="Arial" w:eastAsia="Times New Roman" w:hAnsi="Arial" w:cs="Arial"/>
          <w:b/>
          <w:bCs/>
          <w:szCs w:val="24"/>
          <w:lang w:eastAsia="lv-LV"/>
        </w:rPr>
        <w:t>ā</w:t>
      </w:r>
      <w:r>
        <w:rPr>
          <w:rFonts w:ascii="Arial" w:eastAsia="Times New Roman" w:hAnsi="Arial" w:cs="Arial"/>
          <w:b/>
          <w:bCs/>
          <w:szCs w:val="24"/>
          <w:lang w:eastAsia="lv-LV"/>
        </w:rPr>
        <w:t xml:space="preserve"> 10B, Jelgav</w:t>
      </w:r>
      <w:r w:rsidR="00C56A5C">
        <w:rPr>
          <w:rFonts w:ascii="Arial" w:eastAsia="Times New Roman" w:hAnsi="Arial" w:cs="Arial"/>
          <w:b/>
          <w:bCs/>
          <w:szCs w:val="24"/>
          <w:lang w:eastAsia="lv-LV"/>
        </w:rPr>
        <w:t>ā</w:t>
      </w:r>
      <w:r>
        <w:rPr>
          <w:rFonts w:ascii="Arial" w:eastAsia="Times New Roman" w:hAnsi="Arial" w:cs="Arial"/>
          <w:b/>
          <w:bCs/>
          <w:szCs w:val="24"/>
          <w:lang w:eastAsia="lv-LV"/>
        </w:rPr>
        <w:t xml:space="preserve"> </w:t>
      </w:r>
    </w:p>
    <w:p w14:paraId="50D24995" w14:textId="77777777" w:rsidR="00BC44B2" w:rsidRDefault="00BC44B2" w:rsidP="00BC44B2">
      <w:pPr>
        <w:rPr>
          <w:rFonts w:ascii="Arial" w:hAnsi="Arial" w:cs="Arial"/>
          <w:szCs w:val="24"/>
        </w:rPr>
      </w:pPr>
    </w:p>
    <w:p w14:paraId="2E5DC76D" w14:textId="77777777" w:rsidR="00BC44B2" w:rsidRDefault="00BC44B2" w:rsidP="00BC44B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DARBA UZDEVUMS</w:t>
      </w:r>
    </w:p>
    <w:p w14:paraId="5EB86275" w14:textId="77777777" w:rsidR="00BC44B2" w:rsidRDefault="00BC44B2" w:rsidP="00BC44B2">
      <w:pPr>
        <w:rPr>
          <w:rFonts w:ascii="Arial" w:hAnsi="Arial" w:cs="Arial"/>
          <w:szCs w:val="24"/>
        </w:rPr>
      </w:pPr>
    </w:p>
    <w:p w14:paraId="62A615BE" w14:textId="77777777" w:rsidR="00BC44B2" w:rsidRDefault="00BC44B2" w:rsidP="00BC44B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Ievads </w:t>
      </w:r>
    </w:p>
    <w:p w14:paraId="5A5ADEE7" w14:textId="5AA2C1C3" w:rsidR="00BC44B2" w:rsidRDefault="00BC44B2" w:rsidP="00BC44B2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VAS “Latvijas dzelzceļš” (turpmāk </w:t>
      </w:r>
      <w:r w:rsidR="00F64D85">
        <w:rPr>
          <w:rFonts w:ascii="Arial" w:hAnsi="Arial" w:cs="Arial"/>
          <w:szCs w:val="24"/>
        </w:rPr>
        <w:t xml:space="preserve">LDz vai </w:t>
      </w:r>
      <w:r>
        <w:rPr>
          <w:rFonts w:ascii="Arial" w:hAnsi="Arial" w:cs="Arial"/>
          <w:szCs w:val="24"/>
        </w:rPr>
        <w:t xml:space="preserve">Pasūtītājs) </w:t>
      </w:r>
      <w:r w:rsidR="007E4C6C">
        <w:rPr>
          <w:rFonts w:ascii="Arial" w:hAnsi="Arial" w:cs="Arial"/>
          <w:szCs w:val="24"/>
        </w:rPr>
        <w:t>Prohorova</w:t>
      </w:r>
      <w:r>
        <w:rPr>
          <w:rFonts w:ascii="Arial" w:hAnsi="Arial" w:cs="Arial"/>
          <w:szCs w:val="24"/>
        </w:rPr>
        <w:t xml:space="preserve"> ielā </w:t>
      </w:r>
      <w:r w:rsidR="007E4C6C">
        <w:rPr>
          <w:rFonts w:ascii="Arial" w:hAnsi="Arial" w:cs="Arial"/>
          <w:szCs w:val="24"/>
        </w:rPr>
        <w:t>10B</w:t>
      </w:r>
      <w:r>
        <w:rPr>
          <w:rFonts w:ascii="Arial" w:hAnsi="Arial" w:cs="Arial"/>
          <w:szCs w:val="24"/>
        </w:rPr>
        <w:t xml:space="preserve">, </w:t>
      </w:r>
      <w:r w:rsidR="007E4C6C">
        <w:rPr>
          <w:rFonts w:ascii="Arial" w:hAnsi="Arial" w:cs="Arial"/>
          <w:szCs w:val="24"/>
        </w:rPr>
        <w:t>Jelgavā</w:t>
      </w:r>
      <w:r>
        <w:rPr>
          <w:rFonts w:ascii="Arial" w:hAnsi="Arial" w:cs="Arial"/>
          <w:szCs w:val="24"/>
        </w:rPr>
        <w:t xml:space="preserve"> pieder </w:t>
      </w:r>
      <w:r w:rsidR="007E4C6C">
        <w:rPr>
          <w:rFonts w:ascii="Arial" w:hAnsi="Arial" w:cs="Arial"/>
          <w:szCs w:val="24"/>
        </w:rPr>
        <w:t xml:space="preserve">transformatora ēka </w:t>
      </w:r>
      <w:r>
        <w:rPr>
          <w:rFonts w:ascii="Arial" w:hAnsi="Arial" w:cs="Arial"/>
          <w:szCs w:val="24"/>
        </w:rPr>
        <w:t xml:space="preserve">(būves kad. apzīmējums </w:t>
      </w:r>
      <w:r w:rsidR="002040C7">
        <w:rPr>
          <w:rFonts w:ascii="Arial" w:hAnsi="Arial" w:cs="Arial"/>
          <w:szCs w:val="24"/>
        </w:rPr>
        <w:t>09000140184010</w:t>
      </w:r>
      <w:r>
        <w:rPr>
          <w:rFonts w:ascii="Arial" w:hAnsi="Arial" w:cs="Arial"/>
          <w:szCs w:val="24"/>
        </w:rPr>
        <w:t>).  Ēkas ekspluatācijas laikā</w:t>
      </w:r>
      <w:r w:rsidR="006F7B86">
        <w:rPr>
          <w:rFonts w:ascii="Arial" w:hAnsi="Arial" w:cs="Arial"/>
          <w:szCs w:val="24"/>
        </w:rPr>
        <w:t xml:space="preserve"> Ondulain jumta segums ir nolietojies, atrodas sliktā tehniskā stāvoklī</w:t>
      </w:r>
      <w:r w:rsidR="00C54841">
        <w:rPr>
          <w:rFonts w:ascii="Arial" w:hAnsi="Arial" w:cs="Arial"/>
          <w:szCs w:val="24"/>
        </w:rPr>
        <w:t>, lietus laikā tek.</w:t>
      </w:r>
      <w:r w:rsidR="00B62B8F">
        <w:rPr>
          <w:rFonts w:ascii="Arial" w:hAnsi="Arial" w:cs="Arial"/>
          <w:szCs w:val="24"/>
        </w:rPr>
        <w:t xml:space="preserve"> Ēkā atrodas </w:t>
      </w:r>
      <w:r w:rsidR="00F64D85">
        <w:rPr>
          <w:rFonts w:ascii="Arial" w:hAnsi="Arial" w:cs="Arial"/>
          <w:szCs w:val="24"/>
        </w:rPr>
        <w:t>LDz</w:t>
      </w:r>
      <w:r w:rsidR="00B62B8F">
        <w:rPr>
          <w:rFonts w:ascii="Arial" w:hAnsi="Arial" w:cs="Arial"/>
          <w:szCs w:val="24"/>
        </w:rPr>
        <w:t xml:space="preserve"> transformators, kā arī AS “Sadales tīkls” piederošā slēgiekārta.</w:t>
      </w:r>
      <w:r w:rsidR="00F64D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F64D85">
        <w:rPr>
          <w:rFonts w:ascii="Arial" w:hAnsi="Arial" w:cs="Arial"/>
          <w:szCs w:val="24"/>
        </w:rPr>
        <w:t xml:space="preserve">AS “Sadales tīkls” vēstulē Nr. 309920-05/511informē LDz, ka vidējā sprieguma kamerā ir mitruma pēdas, kas var radīt bīstamu situāciju un izraisīt piegādātās elektroenerģijas traucējumus AS “Sadales tīkls” klientiem, un lūdz nekavējoši novērst jumta bojājumus.  </w:t>
      </w:r>
    </w:p>
    <w:p w14:paraId="6B261E0E" w14:textId="77777777" w:rsidR="00BC44B2" w:rsidRDefault="00BC44B2" w:rsidP="00BC44B2">
      <w:pPr>
        <w:jc w:val="both"/>
        <w:rPr>
          <w:rFonts w:ascii="Arial" w:hAnsi="Arial" w:cs="Arial"/>
          <w:szCs w:val="24"/>
        </w:rPr>
      </w:pPr>
    </w:p>
    <w:p w14:paraId="305BECA2" w14:textId="77777777" w:rsidR="00BC44B2" w:rsidRDefault="00BC44B2" w:rsidP="00BC44B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Mērķis</w:t>
      </w:r>
    </w:p>
    <w:p w14:paraId="5191CBE8" w14:textId="6949F62E" w:rsidR="00BC44B2" w:rsidRDefault="00BC44B2" w:rsidP="00BC44B2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Novērst</w:t>
      </w:r>
      <w:r w:rsidR="00F64D85">
        <w:rPr>
          <w:rFonts w:ascii="Arial" w:hAnsi="Arial" w:cs="Arial"/>
          <w:iCs/>
          <w:szCs w:val="24"/>
        </w:rPr>
        <w:t xml:space="preserve"> jumta tecēšanu un bīstam</w:t>
      </w:r>
      <w:r w:rsidR="00C56A5C">
        <w:rPr>
          <w:rFonts w:ascii="Arial" w:hAnsi="Arial" w:cs="Arial"/>
          <w:iCs/>
          <w:szCs w:val="24"/>
        </w:rPr>
        <w:t>u</w:t>
      </w:r>
      <w:r w:rsidR="00F64D85">
        <w:rPr>
          <w:rFonts w:ascii="Arial" w:hAnsi="Arial" w:cs="Arial"/>
          <w:iCs/>
          <w:szCs w:val="24"/>
        </w:rPr>
        <w:t xml:space="preserve"> situāciju veidošanos transformatoru ēkā</w:t>
      </w:r>
      <w:r w:rsidR="00C56A5C">
        <w:rPr>
          <w:rFonts w:ascii="Arial" w:hAnsi="Arial" w:cs="Arial"/>
          <w:iCs/>
          <w:szCs w:val="24"/>
        </w:rPr>
        <w:t>;</w:t>
      </w:r>
    </w:p>
    <w:p w14:paraId="614860F1" w14:textId="26BCD7CC" w:rsidR="00BC44B2" w:rsidRDefault="00BC44B2" w:rsidP="00BC44B2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Atjaunot ēkas </w:t>
      </w:r>
      <w:r w:rsidR="00F64D85">
        <w:rPr>
          <w:rFonts w:ascii="Arial" w:hAnsi="Arial" w:cs="Arial"/>
          <w:iCs/>
          <w:szCs w:val="24"/>
        </w:rPr>
        <w:t xml:space="preserve">jumta </w:t>
      </w:r>
      <w:r>
        <w:rPr>
          <w:rFonts w:ascii="Arial" w:hAnsi="Arial" w:cs="Arial"/>
          <w:iCs/>
          <w:szCs w:val="24"/>
        </w:rPr>
        <w:t>tehnisko stāvokli</w:t>
      </w:r>
      <w:r w:rsidR="00C56A5C">
        <w:rPr>
          <w:rFonts w:ascii="Arial" w:hAnsi="Arial" w:cs="Arial"/>
          <w:iCs/>
          <w:szCs w:val="24"/>
        </w:rPr>
        <w:t>;</w:t>
      </w:r>
    </w:p>
    <w:p w14:paraId="30BBD957" w14:textId="4EE3B512" w:rsidR="00BC44B2" w:rsidRDefault="00BC44B2" w:rsidP="00BC44B2">
      <w:pPr>
        <w:pStyle w:val="Sarakstarindkopa"/>
        <w:numPr>
          <w:ilvl w:val="1"/>
          <w:numId w:val="1"/>
        </w:numPr>
        <w:spacing w:before="60" w:after="60" w:line="276" w:lineRule="auto"/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>Veikt nekustamā īpašuma uzlabošanu, sakārtošanu un drošu ekspluatāciju.</w:t>
      </w:r>
    </w:p>
    <w:p w14:paraId="318DA5A4" w14:textId="77777777" w:rsidR="00BC44B2" w:rsidRDefault="00BC44B2" w:rsidP="00BC44B2">
      <w:pPr>
        <w:ind w:left="720"/>
        <w:jc w:val="both"/>
        <w:rPr>
          <w:rFonts w:ascii="Arial" w:hAnsi="Arial" w:cs="Arial"/>
          <w:szCs w:val="24"/>
        </w:rPr>
      </w:pPr>
    </w:p>
    <w:p w14:paraId="22183F8D" w14:textId="77777777" w:rsidR="00BC44B2" w:rsidRDefault="00BC44B2" w:rsidP="00BC44B2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Darba uzdevums</w:t>
      </w:r>
    </w:p>
    <w:p w14:paraId="174AB5D4" w14:textId="77777777" w:rsidR="00BC44B2" w:rsidRDefault="00BC44B2" w:rsidP="00BC44B2">
      <w:pPr>
        <w:spacing w:before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Izstrādāt </w:t>
      </w:r>
      <w:r>
        <w:rPr>
          <w:rFonts w:ascii="Arial" w:hAnsi="Arial" w:cs="Arial"/>
          <w:sz w:val="22"/>
          <w:u w:val="single"/>
        </w:rPr>
        <w:t>tehnisko dokumentāciju</w:t>
      </w:r>
      <w:r>
        <w:rPr>
          <w:rFonts w:ascii="Arial" w:hAnsi="Arial" w:cs="Arial"/>
          <w:sz w:val="22"/>
        </w:rPr>
        <w:t xml:space="preserve"> un veikt sekojošus būvdarbus: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4397"/>
        <w:gridCol w:w="1559"/>
        <w:gridCol w:w="1780"/>
      </w:tblGrid>
      <w:tr w:rsidR="00BC44B2" w14:paraId="091CF110" w14:textId="77777777" w:rsidTr="00C56A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42EF" w14:textId="61A08124" w:rsidR="00BC44B2" w:rsidRDefault="00BC44B2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Nr. p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>k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9827" w14:textId="77777777" w:rsidR="00BC44B2" w:rsidRDefault="00BC44B2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Darba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507" w14:textId="77777777" w:rsidR="00BC44B2" w:rsidRDefault="00BC44B2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Mērvienība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449D" w14:textId="77777777" w:rsidR="00BC44B2" w:rsidRDefault="00BC44B2">
            <w:pPr>
              <w:jc w:val="center"/>
              <w:rPr>
                <w:rFonts w:ascii="Arial" w:eastAsiaTheme="minorHAnsi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Apjoms</w:t>
            </w:r>
          </w:p>
        </w:tc>
      </w:tr>
      <w:tr w:rsidR="00BC44B2" w14:paraId="60C73D5E" w14:textId="77777777" w:rsidTr="00BC44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C0AA" w14:textId="6587364A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FED7" w14:textId="77777777" w:rsidR="00BC44B2" w:rsidRDefault="00BC44B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Būvlaukuma ierīkošana, uzturēšana un darbu organizācija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6A13" w14:textId="77777777" w:rsidR="00BC44B2" w:rsidRDefault="00BC44B2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  <w:t>objekts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515D" w14:textId="77777777" w:rsidR="00BC44B2" w:rsidRDefault="00BC44B2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BC44B2" w14:paraId="769A8CB5" w14:textId="77777777" w:rsidTr="00F64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1E28" w14:textId="0F3AAA86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2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AA9" w14:textId="49EEB82B" w:rsidR="00BC44B2" w:rsidRDefault="00A5538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Bojātā jumta seguma </w:t>
            </w:r>
            <w:r w:rsidR="00966D86">
              <w:rPr>
                <w:rFonts w:ascii="Arial" w:hAnsi="Arial" w:cs="Arial"/>
                <w:szCs w:val="24"/>
              </w:rPr>
              <w:t>(6,3x17,4)</w:t>
            </w:r>
            <w:r>
              <w:rPr>
                <w:rFonts w:ascii="Arial" w:hAnsi="Arial" w:cs="Arial"/>
                <w:szCs w:val="24"/>
              </w:rPr>
              <w:t xml:space="preserve"> demontāža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EFA" w14:textId="6F713997" w:rsidR="00BC44B2" w:rsidRDefault="00966D86">
            <w:pPr>
              <w:jc w:val="center"/>
              <w:rPr>
                <w:rFonts w:ascii="Arial" w:eastAsia="Times New Roman" w:hAnsi="Arial" w:cs="Arial"/>
                <w:color w:val="000000"/>
                <w:szCs w:val="24"/>
                <w:lang w:eastAsia="lv-LV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E88" w14:textId="75CA2EE8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BC44B2" w14:paraId="77263269" w14:textId="77777777" w:rsidTr="00F64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8666" w14:textId="58AC90E6" w:rsidR="00BC44B2" w:rsidRDefault="00612CA1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D4B8" w14:textId="29F3AC38" w:rsidR="00BC44B2" w:rsidRDefault="00612CA1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Virsmas sagatavošana seguma ierīkošanai, t.sk izlīdzināšana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C44" w14:textId="77832D6C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A1A" w14:textId="2992AFDF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BC44B2" w14:paraId="1A29C48B" w14:textId="77777777" w:rsidTr="00F64D8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E47A" w14:textId="6F3FA690" w:rsidR="00BC44B2" w:rsidRDefault="00612CA1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D963" w14:textId="0A81E7CA" w:rsidR="00BC44B2" w:rsidRDefault="00A55389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Ruberoīda seguma i</w:t>
            </w:r>
            <w:r w:rsidR="00B242A7">
              <w:rPr>
                <w:rFonts w:ascii="Arial" w:hAnsi="Arial" w:cs="Arial"/>
                <w:bCs/>
                <w:szCs w:val="24"/>
              </w:rPr>
              <w:t>eklāšana</w:t>
            </w:r>
            <w:r>
              <w:rPr>
                <w:rFonts w:ascii="Arial" w:hAnsi="Arial" w:cs="Arial"/>
                <w:bCs/>
                <w:szCs w:val="24"/>
              </w:rPr>
              <w:t xml:space="preserve"> (2kārtas)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63A" w14:textId="36A26A28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Pr="00966D86">
              <w:rPr>
                <w:rFonts w:ascii="Arial" w:hAnsi="Arial" w:cs="Arial"/>
                <w:szCs w:val="24"/>
                <w:vertAlign w:val="superscript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20D" w14:textId="36EE2226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110</w:t>
            </w:r>
          </w:p>
        </w:tc>
      </w:tr>
      <w:tr w:rsidR="00BC44B2" w14:paraId="725608BB" w14:textId="77777777" w:rsidTr="00BC44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2824" w14:textId="77E5C870" w:rsidR="00BC44B2" w:rsidRDefault="00612CA1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AA4B" w14:textId="77777777" w:rsidR="00BC44B2" w:rsidRDefault="00BC44B2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Skārda notekcauruļu remonts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E873" w14:textId="77777777" w:rsidR="00BC44B2" w:rsidRDefault="00BC44B2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826" w14:textId="77777777" w:rsidR="00BC44B2" w:rsidRDefault="00BC44B2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BC44B2" w14:paraId="515D0860" w14:textId="77777777" w:rsidTr="00BC44B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ABC" w14:textId="454760B5" w:rsidR="00BC44B2" w:rsidRDefault="00612CA1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C56A5C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ED59" w14:textId="1BFA0B61" w:rsidR="00BC44B2" w:rsidRDefault="00BC44B2">
            <w:pPr>
              <w:rPr>
                <w:rFonts w:ascii="Arial" w:eastAsia="Times New Roman" w:hAnsi="Arial" w:cs="Arial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szCs w:val="24"/>
                <w:lang w:eastAsia="lv-LV"/>
              </w:rPr>
              <w:t>Atkritum</w:t>
            </w:r>
            <w:r w:rsidR="00C56A5C">
              <w:rPr>
                <w:rFonts w:ascii="Arial" w:eastAsia="Times New Roman" w:hAnsi="Arial" w:cs="Arial"/>
                <w:szCs w:val="24"/>
                <w:lang w:eastAsia="lv-LV"/>
              </w:rPr>
              <w:t>u</w:t>
            </w:r>
            <w:r>
              <w:rPr>
                <w:rFonts w:ascii="Arial" w:eastAsia="Times New Roman" w:hAnsi="Arial" w:cs="Arial"/>
                <w:szCs w:val="24"/>
                <w:lang w:eastAsia="lv-LV"/>
              </w:rPr>
              <w:t xml:space="preserve"> izvešana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723C" w14:textId="57A4037E" w:rsidR="00BC44B2" w:rsidRDefault="00966D86">
            <w:pPr>
              <w:jc w:val="center"/>
              <w:rPr>
                <w:rFonts w:ascii="Arial" w:eastAsiaTheme="minorHAnsi" w:hAnsi="Arial" w:cs="Arial"/>
                <w:bCs/>
                <w:szCs w:val="24"/>
              </w:rPr>
            </w:pPr>
            <w:r>
              <w:rPr>
                <w:rFonts w:ascii="Arial" w:eastAsiaTheme="minorHAnsi" w:hAnsi="Arial" w:cs="Arial"/>
                <w:bCs/>
                <w:szCs w:val="24"/>
              </w:rPr>
              <w:t>m</w:t>
            </w:r>
            <w:r w:rsidRPr="00966D86">
              <w:rPr>
                <w:rFonts w:ascii="Arial" w:eastAsiaTheme="minorHAnsi" w:hAnsi="Arial" w:cs="Arial"/>
                <w:bCs/>
                <w:szCs w:val="24"/>
                <w:vertAlign w:val="superscript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27DC" w14:textId="00AD9013" w:rsidR="00BC44B2" w:rsidRDefault="00966D86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</w:t>
            </w:r>
          </w:p>
        </w:tc>
      </w:tr>
    </w:tbl>
    <w:p w14:paraId="79172277" w14:textId="77777777" w:rsidR="00BC44B2" w:rsidRDefault="00BC44B2" w:rsidP="00BC44B2">
      <w:pPr>
        <w:jc w:val="both"/>
        <w:rPr>
          <w:rFonts w:ascii="Arial" w:hAnsi="Arial" w:cs="Arial"/>
          <w:b/>
          <w:szCs w:val="24"/>
        </w:rPr>
      </w:pPr>
    </w:p>
    <w:p w14:paraId="0A6412D7" w14:textId="54F61EDC" w:rsidR="00BC44B2" w:rsidRDefault="00BC44B2" w:rsidP="00BC44B2">
      <w:pPr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ab/>
        <w:t>Visi būvdarbi tiek veikti ievērojot tehnoloģisko procesus, tiek  kompleksi risināti un netiek dalīti.</w:t>
      </w:r>
    </w:p>
    <w:p w14:paraId="3C338518" w14:textId="1D1370AD" w:rsidR="00BC44B2" w:rsidRDefault="00BC44B2" w:rsidP="00BC44B2">
      <w:pPr>
        <w:pStyle w:val="Sarakstarindkopa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Būvdarbus veikt atbilstoši Būvniecības likumam, MK</w:t>
      </w:r>
      <w:r w:rsidR="00C56A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noteikumiem  Nr. 500 “Vispārīgie būvnoteikumi”,  LBN 201-15 ”Būvju ugunsdrošība” un cit</w:t>
      </w:r>
      <w:r w:rsidR="00C56A5C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</w:t>
      </w:r>
      <w:r w:rsidR="00C56A5C">
        <w:rPr>
          <w:rFonts w:ascii="Arial" w:hAnsi="Arial" w:cs="Arial"/>
          <w:szCs w:val="24"/>
        </w:rPr>
        <w:t>tiesību</w:t>
      </w:r>
      <w:r>
        <w:rPr>
          <w:rFonts w:ascii="Arial" w:hAnsi="Arial" w:cs="Arial"/>
          <w:szCs w:val="24"/>
        </w:rPr>
        <w:t xml:space="preserve"> aktu prasībām.</w:t>
      </w:r>
    </w:p>
    <w:p w14:paraId="1F85AC08" w14:textId="77777777" w:rsidR="00BC44B2" w:rsidRDefault="00BC44B2" w:rsidP="00BC44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Būvdarbu gaitā, ja būvdarbu apjomi pamatoti palielinās vai samazinās, tiek sastādīts un abpusēji parakstīts Darba apjomu izmaiņu akts, saglabājot piedāvājumā iesniegtās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 xml:space="preserve">  izmaksas. Objekta apsekošana uz vietas kopā ar Pasūtītāja pārstāvi </w:t>
      </w:r>
      <w:r>
        <w:rPr>
          <w:rFonts w:ascii="Arial" w:hAnsi="Arial" w:cs="Arial"/>
          <w:szCs w:val="24"/>
          <w:u w:val="single"/>
        </w:rPr>
        <w:t>obligāta.</w:t>
      </w:r>
    </w:p>
    <w:p w14:paraId="66257F3A" w14:textId="77777777" w:rsidR="00BC44B2" w:rsidRDefault="00BC44B2" w:rsidP="00BC44B2">
      <w:pPr>
        <w:jc w:val="both"/>
        <w:rPr>
          <w:rFonts w:ascii="Arial" w:hAnsi="Arial" w:cs="Arial"/>
          <w:szCs w:val="24"/>
        </w:rPr>
      </w:pPr>
    </w:p>
    <w:p w14:paraId="478EC97C" w14:textId="77777777" w:rsidR="00BC44B2" w:rsidRDefault="00BC44B2" w:rsidP="00BC44B2">
      <w:pPr>
        <w:pStyle w:val="Sarakstarindkopa"/>
        <w:numPr>
          <w:ilvl w:val="0"/>
          <w:numId w:val="2"/>
        </w:numPr>
        <w:ind w:left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Rezultāts</w:t>
      </w:r>
    </w:p>
    <w:p w14:paraId="4BD465B9" w14:textId="26026B6B" w:rsidR="00BC44B2" w:rsidRDefault="00BC44B2" w:rsidP="00BC44B2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Likvidētas bīstamas situācijas, </w:t>
      </w:r>
      <w:r w:rsidR="00966D86">
        <w:rPr>
          <w:rFonts w:ascii="Arial" w:hAnsi="Arial" w:cs="Arial"/>
          <w:szCs w:val="24"/>
        </w:rPr>
        <w:t>atjaunots</w:t>
      </w:r>
      <w:r>
        <w:rPr>
          <w:rFonts w:ascii="Arial" w:hAnsi="Arial" w:cs="Arial"/>
          <w:szCs w:val="24"/>
        </w:rPr>
        <w:t xml:space="preserve"> ēkas </w:t>
      </w:r>
      <w:r w:rsidR="00966D86">
        <w:rPr>
          <w:rFonts w:ascii="Arial" w:hAnsi="Arial" w:cs="Arial"/>
          <w:szCs w:val="24"/>
        </w:rPr>
        <w:t xml:space="preserve">jumts, uzlabots ēkas </w:t>
      </w:r>
      <w:r>
        <w:rPr>
          <w:rFonts w:ascii="Arial" w:hAnsi="Arial" w:cs="Arial"/>
          <w:szCs w:val="24"/>
        </w:rPr>
        <w:t xml:space="preserve"> tehniskais stāvoklis. </w:t>
      </w:r>
    </w:p>
    <w:p w14:paraId="2E4F5595" w14:textId="77777777" w:rsidR="00BC44B2" w:rsidRDefault="00BC44B2" w:rsidP="00BC44B2">
      <w:pPr>
        <w:pStyle w:val="Sarakstarindkopa"/>
        <w:numPr>
          <w:ilvl w:val="1"/>
          <w:numId w:val="3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Veikta dzelzceļa nekustamā īpašuma sakārtošana un droša ekspluatācija.</w:t>
      </w:r>
    </w:p>
    <w:p w14:paraId="3492F3C5" w14:textId="77777777" w:rsidR="00BC44B2" w:rsidRDefault="00BC44B2" w:rsidP="00BC44B2">
      <w:pPr>
        <w:jc w:val="both"/>
        <w:rPr>
          <w:rFonts w:ascii="Arial" w:hAnsi="Arial" w:cs="Arial"/>
          <w:szCs w:val="24"/>
        </w:rPr>
      </w:pPr>
    </w:p>
    <w:p w14:paraId="049EA0B7" w14:textId="77777777" w:rsidR="00BC44B2" w:rsidRDefault="00BC44B2" w:rsidP="00BC44B2">
      <w:pPr>
        <w:pStyle w:val="Sarakstarindkopa"/>
        <w:numPr>
          <w:ilvl w:val="0"/>
          <w:numId w:val="2"/>
        </w:numPr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Laiks un resursi</w:t>
      </w:r>
    </w:p>
    <w:p w14:paraId="54883F48" w14:textId="77777777" w:rsidR="00BC44B2" w:rsidRDefault="00BC44B2" w:rsidP="00BC44B2">
      <w:pPr>
        <w:ind w:left="66" w:firstLine="28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Darbs par šī darba uzdevuma izpildi tiks veikts uz līguma pamata, kuru noslēgs   pasūtītājs  - LDz un darba izpildītājs, kas ir atbildīgs par darba uzdevuma 3.punkta  sekmīgu un kvalitatīvu izpildi, apakšlīgumu slēgšanu un par konsultācijām ar jebkuru  citu firmu, institūcijām vai ekspertiem.</w:t>
      </w:r>
    </w:p>
    <w:p w14:paraId="6C57EC38" w14:textId="1EB3324D" w:rsidR="00BC44B2" w:rsidRDefault="00BC44B2" w:rsidP="00BC44B2">
      <w:pPr>
        <w:jc w:val="both"/>
        <w:rPr>
          <w:rFonts w:ascii="Arial" w:eastAsiaTheme="minorHAnsi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      </w:t>
      </w:r>
      <w:r>
        <w:rPr>
          <w:rFonts w:ascii="Arial" w:eastAsiaTheme="minorHAnsi" w:hAnsi="Arial" w:cs="Arial"/>
          <w:bCs/>
          <w:szCs w:val="24"/>
        </w:rPr>
        <w:t xml:space="preserve">Darbu izpildes termiņš: No līguma parakstīšanas dienas 45 dienas </w:t>
      </w:r>
      <w:r w:rsidR="00966D86">
        <w:rPr>
          <w:rFonts w:ascii="Arial" w:eastAsiaTheme="minorHAnsi" w:hAnsi="Arial" w:cs="Arial"/>
          <w:bCs/>
          <w:szCs w:val="24"/>
        </w:rPr>
        <w:t>jumta</w:t>
      </w:r>
      <w:r>
        <w:rPr>
          <w:rFonts w:ascii="Arial" w:eastAsiaTheme="minorHAnsi" w:hAnsi="Arial" w:cs="Arial"/>
          <w:bCs/>
          <w:szCs w:val="24"/>
        </w:rPr>
        <w:t xml:space="preserve"> remontam.</w:t>
      </w:r>
    </w:p>
    <w:p w14:paraId="040E1190" w14:textId="77777777" w:rsidR="00BC44B2" w:rsidRDefault="00BC44B2" w:rsidP="00BC44B2">
      <w:pPr>
        <w:jc w:val="both"/>
        <w:rPr>
          <w:rFonts w:ascii="Arial" w:eastAsiaTheme="minorHAnsi" w:hAnsi="Arial" w:cs="Arial"/>
          <w:bCs/>
          <w:szCs w:val="24"/>
        </w:rPr>
      </w:pPr>
      <w:r>
        <w:rPr>
          <w:rFonts w:ascii="Arial" w:eastAsiaTheme="minorHAnsi" w:hAnsi="Arial" w:cs="Arial"/>
          <w:bCs/>
          <w:szCs w:val="24"/>
        </w:rPr>
        <w:t xml:space="preserve">       Būvdarbu garantijas laiks – 5 gadi.</w:t>
      </w:r>
    </w:p>
    <w:p w14:paraId="2AC48679" w14:textId="77777777" w:rsidR="00BC44B2" w:rsidRDefault="00BC44B2" w:rsidP="00BC44B2">
      <w:pPr>
        <w:ind w:left="66" w:firstLine="283"/>
        <w:jc w:val="both"/>
        <w:rPr>
          <w:rFonts w:ascii="Arial" w:hAnsi="Arial" w:cs="Arial"/>
          <w:szCs w:val="24"/>
        </w:rPr>
      </w:pPr>
    </w:p>
    <w:p w14:paraId="3CBB0B6B" w14:textId="77777777" w:rsidR="00612CA1" w:rsidRDefault="00612CA1">
      <w:pPr>
        <w:rPr>
          <w:rFonts w:ascii="Arial" w:hAnsi="Arial" w:cs="Arial"/>
        </w:rPr>
      </w:pPr>
    </w:p>
    <w:p w14:paraId="70196411" w14:textId="0DD6665B" w:rsidR="00C86F9C" w:rsidRPr="00F212D7" w:rsidRDefault="00C86F9C">
      <w:pPr>
        <w:rPr>
          <w:rFonts w:ascii="Arial" w:hAnsi="Arial" w:cs="Arial"/>
          <w:b/>
          <w:bCs/>
        </w:rPr>
      </w:pPr>
      <w:r w:rsidRPr="00F212D7">
        <w:rPr>
          <w:rFonts w:ascii="Arial" w:hAnsi="Arial" w:cs="Arial"/>
          <w:b/>
          <w:bCs/>
        </w:rPr>
        <w:t>Objekta foto</w:t>
      </w:r>
    </w:p>
    <w:p w14:paraId="19F70179" w14:textId="34003C40" w:rsidR="00C86F9C" w:rsidRDefault="00C86F9C">
      <w:pPr>
        <w:rPr>
          <w:rFonts w:ascii="Arial" w:hAnsi="Arial" w:cs="Arial"/>
        </w:rPr>
      </w:pPr>
    </w:p>
    <w:p w14:paraId="08142D0F" w14:textId="7F1EB4D7" w:rsidR="00C86F9C" w:rsidRPr="00C20434" w:rsidRDefault="00C86F9C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213924" wp14:editId="46ADE07B">
            <wp:extent cx="491490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9C" w:rsidRPr="00C20434" w:rsidSect="00F212D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C"/>
    <w:multiLevelType w:val="multilevel"/>
    <w:tmpl w:val="E0663C1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0DF1863"/>
    <w:multiLevelType w:val="hybridMultilevel"/>
    <w:tmpl w:val="DCA8D3DA"/>
    <w:lvl w:ilvl="0" w:tplc="0426000F">
      <w:start w:val="4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694E1F4A"/>
    <w:multiLevelType w:val="hybridMultilevel"/>
    <w:tmpl w:val="C4FCB2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042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59841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47901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57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B2"/>
    <w:rsid w:val="00023334"/>
    <w:rsid w:val="002040C7"/>
    <w:rsid w:val="003204EA"/>
    <w:rsid w:val="00570818"/>
    <w:rsid w:val="00612CA1"/>
    <w:rsid w:val="006F7B86"/>
    <w:rsid w:val="007E4C6C"/>
    <w:rsid w:val="00966D86"/>
    <w:rsid w:val="0098236C"/>
    <w:rsid w:val="00A55389"/>
    <w:rsid w:val="00A60823"/>
    <w:rsid w:val="00B242A7"/>
    <w:rsid w:val="00B62B8F"/>
    <w:rsid w:val="00BC44B2"/>
    <w:rsid w:val="00C20434"/>
    <w:rsid w:val="00C54841"/>
    <w:rsid w:val="00C56A5C"/>
    <w:rsid w:val="00C86F9C"/>
    <w:rsid w:val="00F212D7"/>
    <w:rsid w:val="00F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4480"/>
  <w15:chartTrackingRefBased/>
  <w15:docId w15:val="{228B6A4E-959E-4228-9388-9E447F9A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4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uiPriority w:val="34"/>
    <w:locked/>
    <w:rsid w:val="00BC44B2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basedOn w:val="Parasts"/>
    <w:link w:val="SarakstarindkopaRakstz"/>
    <w:uiPriority w:val="34"/>
    <w:qFormat/>
    <w:rsid w:val="00BC44B2"/>
    <w:pPr>
      <w:ind w:left="720"/>
      <w:contextualSpacing/>
    </w:pPr>
  </w:style>
  <w:style w:type="paragraph" w:customStyle="1" w:styleId="Default">
    <w:name w:val="Default"/>
    <w:rsid w:val="00BC44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39"/>
    <w:rsid w:val="00BC4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2023-07-21T10:59:00Z</dcterms:created>
  <dcterms:modified xsi:type="dcterms:W3CDTF">2023-07-21T10:59:00Z</dcterms:modified>
</cp:coreProperties>
</file>