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10" w:rsidRPr="00BD1610" w:rsidRDefault="00BD1610" w:rsidP="00BD1610">
      <w:pPr>
        <w:spacing w:before="0" w:after="160"/>
        <w:jc w:val="center"/>
        <w:rPr>
          <w:b/>
          <w:szCs w:val="20"/>
        </w:rPr>
      </w:pPr>
      <w:bookmarkStart w:id="0" w:name="_Toc482708067"/>
      <w:bookmarkStart w:id="1" w:name="_Toc529792198"/>
      <w:r w:rsidRPr="00BD1610">
        <w:rPr>
          <w:b/>
          <w:szCs w:val="20"/>
        </w:rPr>
        <w:t>V</w:t>
      </w:r>
      <w:r w:rsidR="00EB3ABF">
        <w:rPr>
          <w:b/>
          <w:szCs w:val="20"/>
        </w:rPr>
        <w:t>alsts akciju sabied</w:t>
      </w:r>
      <w:r w:rsidR="006F2E46">
        <w:rPr>
          <w:b/>
          <w:szCs w:val="20"/>
        </w:rPr>
        <w:t>rī</w:t>
      </w:r>
      <w:bookmarkStart w:id="2" w:name="_GoBack"/>
      <w:bookmarkEnd w:id="2"/>
      <w:r w:rsidR="00EB3ABF">
        <w:rPr>
          <w:b/>
          <w:szCs w:val="20"/>
        </w:rPr>
        <w:t>bas</w:t>
      </w:r>
      <w:r w:rsidRPr="00BD1610">
        <w:rPr>
          <w:b/>
          <w:szCs w:val="20"/>
        </w:rPr>
        <w:t xml:space="preserve"> “Latvijas dzelzceļš” Vidēja termiņa darbības stratēģija 2017.–2022.gadam</w:t>
      </w:r>
    </w:p>
    <w:p w:rsidR="0070434E" w:rsidRDefault="0070434E" w:rsidP="00BD1610">
      <w:pPr>
        <w:spacing w:before="0" w:after="160"/>
        <w:rPr>
          <w:szCs w:val="20"/>
        </w:rPr>
      </w:pPr>
    </w:p>
    <w:p w:rsidR="00EB3ABF" w:rsidRDefault="00EB3ABF" w:rsidP="00BD1610">
      <w:pPr>
        <w:spacing w:before="0" w:after="160"/>
        <w:rPr>
          <w:szCs w:val="20"/>
        </w:rPr>
      </w:pPr>
      <w:r>
        <w:rPr>
          <w:szCs w:val="20"/>
        </w:rPr>
        <w:t xml:space="preserve">Apstiprināta ar VAS “Latvijas dzelzceļš” (LDZ) valdes 2018.gada </w:t>
      </w:r>
      <w:r w:rsidR="00940022">
        <w:rPr>
          <w:szCs w:val="20"/>
        </w:rPr>
        <w:t>8</w:t>
      </w:r>
      <w:r>
        <w:rPr>
          <w:szCs w:val="20"/>
        </w:rPr>
        <w:t xml:space="preserve">.novembra </w:t>
      </w:r>
      <w:r w:rsidR="00940022">
        <w:rPr>
          <w:szCs w:val="20"/>
        </w:rPr>
        <w:t>padomes</w:t>
      </w:r>
      <w:r>
        <w:rPr>
          <w:szCs w:val="20"/>
        </w:rPr>
        <w:t xml:space="preserve"> Nr.</w:t>
      </w:r>
      <w:r w:rsidR="00940022">
        <w:rPr>
          <w:szCs w:val="20"/>
        </w:rPr>
        <w:t>PA</w:t>
      </w:r>
      <w:r>
        <w:rPr>
          <w:szCs w:val="20"/>
        </w:rPr>
        <w:t>-</w:t>
      </w:r>
      <w:r w:rsidR="00940022">
        <w:rPr>
          <w:szCs w:val="20"/>
        </w:rPr>
        <w:t>1.</w:t>
      </w:r>
      <w:r>
        <w:rPr>
          <w:szCs w:val="20"/>
        </w:rPr>
        <w:t>2</w:t>
      </w:r>
      <w:r w:rsidR="001C2BFA">
        <w:rPr>
          <w:szCs w:val="20"/>
        </w:rPr>
        <w:t>./11-</w:t>
      </w:r>
      <w:r w:rsidR="00940022">
        <w:rPr>
          <w:szCs w:val="20"/>
        </w:rPr>
        <w:t>1</w:t>
      </w:r>
    </w:p>
    <w:p w:rsidR="0070434E" w:rsidRDefault="0070434E" w:rsidP="00BD1610">
      <w:pPr>
        <w:spacing w:before="0" w:after="160"/>
        <w:rPr>
          <w:szCs w:val="20"/>
        </w:rPr>
      </w:pPr>
    </w:p>
    <w:p w:rsidR="0070434E" w:rsidRDefault="00EB3ABF" w:rsidP="00EB3ABF">
      <w:pPr>
        <w:pStyle w:val="ListParagraph"/>
        <w:numPr>
          <w:ilvl w:val="0"/>
          <w:numId w:val="4"/>
        </w:numPr>
        <w:spacing w:before="0" w:after="160"/>
        <w:rPr>
          <w:szCs w:val="20"/>
        </w:rPr>
      </w:pPr>
      <w:r>
        <w:rPr>
          <w:szCs w:val="20"/>
        </w:rPr>
        <w:t>Atsauces</w:t>
      </w:r>
    </w:p>
    <w:p w:rsidR="00EB3ABF" w:rsidRPr="00EB3ABF" w:rsidRDefault="00297FA3" w:rsidP="00EB3ABF">
      <w:pPr>
        <w:spacing w:before="0" w:after="160"/>
        <w:rPr>
          <w:color w:val="000000" w:themeColor="text1"/>
          <w:szCs w:val="20"/>
        </w:rPr>
      </w:pPr>
      <w:r>
        <w:rPr>
          <w:szCs w:val="20"/>
        </w:rPr>
        <w:t>VAS “Latvijas dzelzceļš” Vidēja termiņa darbības stratēģijas 2017.-2022.gadam (</w:t>
      </w:r>
      <w:r w:rsidR="002D5464">
        <w:rPr>
          <w:szCs w:val="20"/>
        </w:rPr>
        <w:t xml:space="preserve">turpmāk - </w:t>
      </w:r>
      <w:r w:rsidR="00EB3ABF" w:rsidRPr="00EB3ABF">
        <w:rPr>
          <w:rFonts w:cs="Arial"/>
          <w:color w:val="000000" w:themeColor="text1"/>
          <w:shd w:val="clear" w:color="auto" w:fill="FFFFFF"/>
        </w:rPr>
        <w:t>Stratēģija</w:t>
      </w:r>
      <w:r w:rsidR="002D5464">
        <w:rPr>
          <w:rFonts w:cs="Arial"/>
          <w:color w:val="000000" w:themeColor="text1"/>
          <w:shd w:val="clear" w:color="auto" w:fill="FFFFFF"/>
        </w:rPr>
        <w:t>)</w:t>
      </w:r>
      <w:r w:rsidR="00EB3ABF" w:rsidRPr="00EB3ABF">
        <w:rPr>
          <w:rFonts w:cs="Arial"/>
          <w:color w:val="000000" w:themeColor="text1"/>
          <w:shd w:val="clear" w:color="auto" w:fill="FFFFFF"/>
        </w:rPr>
        <w:t xml:space="preserve"> izstrādāta, ievērojot spēkā esošos ES un </w:t>
      </w:r>
      <w:r w:rsidR="00D21138">
        <w:rPr>
          <w:rFonts w:cs="Arial"/>
          <w:color w:val="000000" w:themeColor="text1"/>
          <w:shd w:val="clear" w:color="auto" w:fill="FFFFFF"/>
        </w:rPr>
        <w:t>LDZ</w:t>
      </w:r>
      <w:r w:rsidR="00EB3ABF" w:rsidRPr="00EB3ABF">
        <w:rPr>
          <w:rFonts w:cs="Arial"/>
          <w:color w:val="000000" w:themeColor="text1"/>
          <w:shd w:val="clear" w:color="auto" w:fill="FFFFFF"/>
        </w:rPr>
        <w:t xml:space="preserve"> akciju īpašnieka galvenos nozares plānošanas dokumentus:</w:t>
      </w:r>
    </w:p>
    <w:p w:rsidR="0070434E" w:rsidRPr="00EB3ABF" w:rsidRDefault="00EB3ABF" w:rsidP="00EB3ABF">
      <w:pPr>
        <w:pStyle w:val="ListParagraph"/>
        <w:numPr>
          <w:ilvl w:val="0"/>
          <w:numId w:val="5"/>
        </w:numPr>
        <w:spacing w:before="0" w:after="160"/>
        <w:rPr>
          <w:szCs w:val="20"/>
        </w:rPr>
      </w:pPr>
      <w:r w:rsidRPr="00220D15">
        <w:rPr>
          <w:rFonts w:eastAsia="Times New Roman"/>
          <w:b/>
          <w:kern w:val="24"/>
          <w:szCs w:val="24"/>
          <w:lang w:eastAsia="lv-LV"/>
        </w:rPr>
        <w:t xml:space="preserve">Eiropas transporta politikas Baltā grāmata </w:t>
      </w:r>
      <w:r w:rsidRPr="00220D15">
        <w:rPr>
          <w:szCs w:val="24"/>
        </w:rPr>
        <w:t>“</w:t>
      </w:r>
      <w:r w:rsidRPr="00220D15">
        <w:rPr>
          <w:rFonts w:eastAsia="Times New Roman"/>
          <w:b/>
          <w:kern w:val="24"/>
          <w:szCs w:val="24"/>
          <w:lang w:eastAsia="lv-LV"/>
        </w:rPr>
        <w:t>Ceļvedis uz Eiropas vienoto transporta telpu – virzība uz konkurētspējīgu un resursefektīvu transporta sistēmu” (Baltā grāmata)</w:t>
      </w:r>
      <w:r w:rsidRPr="00220D15">
        <w:rPr>
          <w:rFonts w:eastAsia="Times New Roman"/>
          <w:kern w:val="24"/>
          <w:szCs w:val="24"/>
          <w:lang w:eastAsia="lv-LV"/>
        </w:rPr>
        <w:t xml:space="preserve"> (Briselē, 28.03.2011. COM(2011) 144)</w:t>
      </w:r>
      <w:r>
        <w:rPr>
          <w:rFonts w:eastAsia="Times New Roman"/>
          <w:kern w:val="24"/>
          <w:szCs w:val="24"/>
          <w:lang w:eastAsia="lv-LV"/>
        </w:rPr>
        <w:t>;</w:t>
      </w:r>
    </w:p>
    <w:p w:rsidR="00EB3ABF" w:rsidRPr="00220D15" w:rsidRDefault="006F2E46" w:rsidP="00EB3ABF">
      <w:pPr>
        <w:numPr>
          <w:ilvl w:val="0"/>
          <w:numId w:val="5"/>
        </w:numPr>
        <w:spacing w:before="0" w:line="276" w:lineRule="auto"/>
        <w:rPr>
          <w:rFonts w:eastAsia="Times New Roman"/>
          <w:kern w:val="24"/>
          <w:szCs w:val="24"/>
          <w:lang w:eastAsia="lv-LV"/>
        </w:rPr>
      </w:pPr>
      <w:hyperlink r:id="rId7" w:history="1">
        <w:r w:rsidR="00EB3ABF" w:rsidRPr="00015C31">
          <w:rPr>
            <w:rStyle w:val="Hyperlink"/>
            <w:rFonts w:eastAsia="Times New Roman"/>
            <w:b/>
            <w:kern w:val="24"/>
            <w:szCs w:val="24"/>
            <w:lang w:eastAsia="lv-LV"/>
          </w:rPr>
          <w:t>Latvijas ilgtspējīgas attīstības stratēģija līdz 2030.gadam</w:t>
        </w:r>
      </w:hyperlink>
      <w:r w:rsidR="00EB3ABF" w:rsidRPr="00220D15">
        <w:rPr>
          <w:rFonts w:eastAsia="Times New Roman"/>
          <w:b/>
          <w:kern w:val="24"/>
          <w:szCs w:val="24"/>
          <w:lang w:eastAsia="lv-LV"/>
        </w:rPr>
        <w:t xml:space="preserve"> </w:t>
      </w:r>
      <w:r w:rsidR="00EB3ABF" w:rsidRPr="00220D15">
        <w:rPr>
          <w:rFonts w:eastAsia="Times New Roman"/>
          <w:kern w:val="24"/>
          <w:szCs w:val="24"/>
          <w:lang w:eastAsia="lv-LV"/>
        </w:rPr>
        <w:t>(</w:t>
      </w:r>
      <w:r w:rsidR="00EB3ABF" w:rsidRPr="00220D15">
        <w:rPr>
          <w:rFonts w:eastAsia="Times New Roman"/>
          <w:szCs w:val="24"/>
          <w:lang w:eastAsia="lv-LV"/>
        </w:rPr>
        <w:t>apstiprināta Latvijas Republikas Saeimā 2010.gada 10.jūnijā)</w:t>
      </w:r>
      <w:r w:rsidR="00F40F28">
        <w:rPr>
          <w:rFonts w:eastAsia="Times New Roman"/>
          <w:szCs w:val="24"/>
          <w:lang w:eastAsia="lv-LV"/>
        </w:rPr>
        <w:t>;</w:t>
      </w:r>
    </w:p>
    <w:p w:rsidR="00EB3ABF" w:rsidRPr="00220D15" w:rsidRDefault="006F2E46" w:rsidP="00EB3ABF">
      <w:pPr>
        <w:numPr>
          <w:ilvl w:val="0"/>
          <w:numId w:val="5"/>
        </w:numPr>
        <w:spacing w:before="0" w:line="276" w:lineRule="auto"/>
        <w:rPr>
          <w:rFonts w:eastAsia="Times New Roman"/>
          <w:b/>
          <w:kern w:val="24"/>
          <w:szCs w:val="24"/>
          <w:lang w:eastAsia="lv-LV"/>
        </w:rPr>
      </w:pPr>
      <w:hyperlink r:id="rId8" w:history="1">
        <w:r w:rsidR="00EB3ABF" w:rsidRPr="00015C31">
          <w:rPr>
            <w:rStyle w:val="Hyperlink"/>
            <w:rFonts w:eastAsia="Times New Roman"/>
            <w:b/>
            <w:kern w:val="24"/>
            <w:szCs w:val="24"/>
            <w:lang w:eastAsia="lv-LV"/>
          </w:rPr>
          <w:t>Latvijas Nacionālais attīstības plāns 2014.–2020. gadam (NAP 2020)</w:t>
        </w:r>
      </w:hyperlink>
      <w:r w:rsidR="00EB3ABF" w:rsidRPr="00220D15">
        <w:rPr>
          <w:rFonts w:eastAsia="Times New Roman"/>
          <w:b/>
          <w:kern w:val="24"/>
          <w:szCs w:val="24"/>
          <w:lang w:eastAsia="lv-LV"/>
        </w:rPr>
        <w:t xml:space="preserve"> </w:t>
      </w:r>
      <w:r w:rsidR="00EB3ABF" w:rsidRPr="00220D15">
        <w:rPr>
          <w:rFonts w:eastAsia="Times New Roman"/>
          <w:kern w:val="24"/>
          <w:szCs w:val="24"/>
          <w:lang w:eastAsia="lv-LV"/>
        </w:rPr>
        <w:t>(apstiprināts Latvijas Republikas Saeimā 2012.gada 20.decembrī)</w:t>
      </w:r>
      <w:r w:rsidR="00F40F28">
        <w:rPr>
          <w:rFonts w:eastAsia="Times New Roman"/>
          <w:kern w:val="24"/>
          <w:szCs w:val="24"/>
          <w:lang w:eastAsia="lv-LV"/>
        </w:rPr>
        <w:t>;</w:t>
      </w:r>
    </w:p>
    <w:p w:rsidR="00EB3ABF" w:rsidRPr="00220D15" w:rsidRDefault="006F2E46" w:rsidP="00EB3ABF">
      <w:pPr>
        <w:numPr>
          <w:ilvl w:val="0"/>
          <w:numId w:val="5"/>
        </w:numPr>
        <w:spacing w:before="0" w:line="276" w:lineRule="auto"/>
        <w:rPr>
          <w:rFonts w:eastAsia="Times New Roman"/>
          <w:b/>
          <w:kern w:val="24"/>
          <w:szCs w:val="24"/>
          <w:lang w:eastAsia="lv-LV"/>
        </w:rPr>
      </w:pPr>
      <w:hyperlink r:id="rId9" w:history="1">
        <w:r w:rsidR="00EB3ABF" w:rsidRPr="00015C31">
          <w:rPr>
            <w:rStyle w:val="Hyperlink"/>
            <w:rFonts w:eastAsia="Times New Roman"/>
            <w:b/>
            <w:kern w:val="24"/>
            <w:szCs w:val="24"/>
            <w:lang w:eastAsia="lv-LV"/>
          </w:rPr>
          <w:t>Transporta attīstības pamatnostādnes 2014.–2020. gadam</w:t>
        </w:r>
      </w:hyperlink>
      <w:r w:rsidR="00EB3ABF" w:rsidRPr="00220D15">
        <w:rPr>
          <w:rFonts w:eastAsia="Times New Roman"/>
          <w:b/>
          <w:kern w:val="24"/>
          <w:szCs w:val="24"/>
          <w:lang w:eastAsia="lv-LV"/>
        </w:rPr>
        <w:t xml:space="preserve"> (TAP 2020) </w:t>
      </w:r>
      <w:r w:rsidR="00EB3ABF" w:rsidRPr="00220D15">
        <w:rPr>
          <w:rFonts w:eastAsia="Times New Roman"/>
          <w:kern w:val="24"/>
          <w:szCs w:val="24"/>
          <w:lang w:eastAsia="lv-LV"/>
        </w:rPr>
        <w:t xml:space="preserve">(apstiprinātas </w:t>
      </w:r>
      <w:r w:rsidR="00EB3ABF" w:rsidRPr="00220D15">
        <w:rPr>
          <w:rFonts w:eastAsia="Times New Roman"/>
          <w:szCs w:val="24"/>
          <w:lang w:eastAsia="lv-LV"/>
        </w:rPr>
        <w:t>ar Ministru kabineta 2013. gada 27. decembra rīkojumu Nr. 683)</w:t>
      </w:r>
      <w:r w:rsidR="00F40F28">
        <w:rPr>
          <w:rFonts w:eastAsia="Times New Roman"/>
          <w:szCs w:val="24"/>
          <w:lang w:eastAsia="lv-LV"/>
        </w:rPr>
        <w:t>;</w:t>
      </w:r>
    </w:p>
    <w:p w:rsidR="00EB3ABF" w:rsidRPr="00F40F28" w:rsidRDefault="00EB3ABF" w:rsidP="00F40F28">
      <w:pPr>
        <w:pStyle w:val="ListParagraph"/>
        <w:numPr>
          <w:ilvl w:val="0"/>
          <w:numId w:val="5"/>
        </w:numPr>
        <w:spacing w:before="0" w:line="240" w:lineRule="auto"/>
        <w:ind w:left="714" w:right="420" w:hanging="357"/>
        <w:contextualSpacing w:val="0"/>
      </w:pPr>
      <w:r w:rsidRPr="001F2920">
        <w:rPr>
          <w:b/>
        </w:rPr>
        <w:t xml:space="preserve">2012.gada 21.novembra Eiropas Parlamenta un Padomes Direktīva 2012/34/ES, ar ko izveido </w:t>
      </w:r>
      <w:r w:rsidR="009E2A5D">
        <w:rPr>
          <w:b/>
        </w:rPr>
        <w:t>vienotu Eiropas dzelzceļa telpu.</w:t>
      </w:r>
    </w:p>
    <w:p w:rsidR="009E2A5D" w:rsidRDefault="009E2A5D" w:rsidP="009E2A5D">
      <w:pPr>
        <w:spacing w:before="0" w:after="160"/>
        <w:rPr>
          <w:szCs w:val="20"/>
        </w:rPr>
      </w:pPr>
    </w:p>
    <w:p w:rsidR="009E2A5D" w:rsidRPr="009E2A5D" w:rsidRDefault="00D21138" w:rsidP="009E2A5D">
      <w:pPr>
        <w:pStyle w:val="ListParagraph"/>
        <w:numPr>
          <w:ilvl w:val="0"/>
          <w:numId w:val="4"/>
        </w:numPr>
        <w:spacing w:before="0" w:after="160"/>
        <w:rPr>
          <w:szCs w:val="20"/>
        </w:rPr>
      </w:pPr>
      <w:r>
        <w:rPr>
          <w:szCs w:val="20"/>
        </w:rPr>
        <w:t>Stratēģijas ietvars</w:t>
      </w:r>
    </w:p>
    <w:p w:rsidR="00BD1610" w:rsidRDefault="002D5464" w:rsidP="00BD1610">
      <w:pPr>
        <w:spacing w:before="0" w:after="160"/>
        <w:rPr>
          <w:rFonts w:cs="Arial"/>
          <w:iCs/>
          <w:szCs w:val="20"/>
        </w:rPr>
      </w:pPr>
      <w:r>
        <w:rPr>
          <w:rFonts w:cs="Arial"/>
          <w:szCs w:val="20"/>
        </w:rPr>
        <w:t>Stratēģija</w:t>
      </w:r>
      <w:r w:rsidR="00BD1610" w:rsidRPr="00284A94">
        <w:rPr>
          <w:rFonts w:cs="Arial"/>
          <w:szCs w:val="20"/>
        </w:rPr>
        <w:t xml:space="preserve"> ir</w:t>
      </w:r>
      <w:r>
        <w:rPr>
          <w:rFonts w:cs="Arial"/>
          <w:szCs w:val="20"/>
        </w:rPr>
        <w:t xml:space="preserve"> LDZ</w:t>
      </w:r>
      <w:r w:rsidR="00BD1610" w:rsidRPr="00284A94">
        <w:rPr>
          <w:rFonts w:cs="Arial"/>
          <w:iCs/>
          <w:szCs w:val="20"/>
        </w:rPr>
        <w:t xml:space="preserve"> </w:t>
      </w:r>
      <w:r w:rsidR="00BD1610" w:rsidRPr="00284A94">
        <w:rPr>
          <w:rFonts w:cs="Arial"/>
          <w:szCs w:val="20"/>
        </w:rPr>
        <w:t xml:space="preserve">vidēja termiņa darbības plānošanas dokuments, kas </w:t>
      </w:r>
      <w:r w:rsidR="00BD1610" w:rsidRPr="00284A94">
        <w:rPr>
          <w:rFonts w:cs="Arial"/>
          <w:iCs/>
          <w:szCs w:val="20"/>
        </w:rPr>
        <w:t>nosaka LD</w:t>
      </w:r>
      <w:r w:rsidR="00BD1610">
        <w:rPr>
          <w:rFonts w:cs="Arial"/>
          <w:iCs/>
          <w:szCs w:val="20"/>
        </w:rPr>
        <w:t>Z</w:t>
      </w:r>
      <w:r w:rsidR="00BD1610" w:rsidRPr="00284A94">
        <w:rPr>
          <w:rFonts w:cs="Arial"/>
          <w:iCs/>
          <w:szCs w:val="20"/>
        </w:rPr>
        <w:t xml:space="preserve"> saimnieciskās darbības un attīstības galvenos virzienus un uz kura pamata tiek plānots LD</w:t>
      </w:r>
      <w:r w:rsidR="00BD1610">
        <w:rPr>
          <w:rFonts w:cs="Arial"/>
          <w:iCs/>
          <w:szCs w:val="20"/>
        </w:rPr>
        <w:t>Z</w:t>
      </w:r>
      <w:r w:rsidR="00BD1610" w:rsidRPr="00284A94">
        <w:rPr>
          <w:rFonts w:cs="Arial"/>
          <w:iCs/>
          <w:szCs w:val="20"/>
        </w:rPr>
        <w:t xml:space="preserve"> budžets un dividendēs izmaksājamā peļņas daļa.</w:t>
      </w:r>
    </w:p>
    <w:p w:rsidR="00BD1610" w:rsidRPr="00BD4274" w:rsidRDefault="00BD1610" w:rsidP="00BD1610">
      <w:pPr>
        <w:spacing w:after="0" w:line="240" w:lineRule="auto"/>
        <w:rPr>
          <w:iCs/>
          <w:szCs w:val="20"/>
        </w:rPr>
      </w:pPr>
      <w:r w:rsidRPr="00BD4274">
        <w:rPr>
          <w:b/>
          <w:iCs/>
          <w:szCs w:val="20"/>
        </w:rPr>
        <w:t>LDz definēti šādi stratēģiskie mērķi,</w:t>
      </w:r>
      <w:r w:rsidRPr="00BD4274">
        <w:rPr>
          <w:iCs/>
          <w:szCs w:val="20"/>
        </w:rPr>
        <w:t xml:space="preserve"> kas kaskadēti LD</w:t>
      </w:r>
      <w:r>
        <w:rPr>
          <w:iCs/>
          <w:szCs w:val="20"/>
        </w:rPr>
        <w:t>Z</w:t>
      </w:r>
      <w:r w:rsidRPr="00BD4274">
        <w:rPr>
          <w:iCs/>
          <w:szCs w:val="20"/>
        </w:rPr>
        <w:t xml:space="preserve"> saimnieciskās darbības procesos un pakalpojumos:</w:t>
      </w:r>
    </w:p>
    <w:p w:rsidR="00BD1610" w:rsidRPr="00284A94" w:rsidRDefault="00BD1610" w:rsidP="00BD1610">
      <w:pPr>
        <w:pStyle w:val="ListParagraph"/>
        <w:numPr>
          <w:ilvl w:val="0"/>
          <w:numId w:val="2"/>
        </w:numPr>
        <w:spacing w:before="0" w:after="0" w:line="240" w:lineRule="auto"/>
        <w:ind w:left="1560" w:hanging="300"/>
        <w:rPr>
          <w:rFonts w:eastAsia="Calibri" w:cs="Arial"/>
          <w:szCs w:val="20"/>
        </w:rPr>
      </w:pPr>
      <w:r w:rsidRPr="00BD4274">
        <w:rPr>
          <w:rFonts w:eastAsia="Calibri" w:cs="Arial"/>
          <w:szCs w:val="20"/>
        </w:rPr>
        <w:t>uz klientu orientēti pakalpojumi. Transporta</w:t>
      </w:r>
      <w:r w:rsidRPr="00284A94">
        <w:rPr>
          <w:rFonts w:eastAsia="Calibri" w:cs="Arial"/>
          <w:szCs w:val="20"/>
        </w:rPr>
        <w:t xml:space="preserve"> drošums un satiksmes drošība;</w:t>
      </w:r>
    </w:p>
    <w:p w:rsidR="00BD1610" w:rsidRPr="00284A94" w:rsidRDefault="00BD1610" w:rsidP="00BD1610">
      <w:pPr>
        <w:pStyle w:val="ListParagraph"/>
        <w:numPr>
          <w:ilvl w:val="0"/>
          <w:numId w:val="2"/>
        </w:numPr>
        <w:spacing w:before="0" w:after="0"/>
        <w:ind w:left="1560" w:hanging="300"/>
        <w:rPr>
          <w:rFonts w:eastAsia="Calibri" w:cs="Arial"/>
          <w:szCs w:val="20"/>
        </w:rPr>
      </w:pPr>
      <w:r w:rsidRPr="00284A94">
        <w:rPr>
          <w:rFonts w:eastAsia="Calibri" w:cs="Arial"/>
          <w:szCs w:val="20"/>
        </w:rPr>
        <w:t>efektīva procesu pārvaldība mainīgos tirgus apstākļos;</w:t>
      </w:r>
    </w:p>
    <w:p w:rsidR="00BD1610" w:rsidRPr="00284A94" w:rsidRDefault="00BD1610" w:rsidP="00BD1610">
      <w:pPr>
        <w:pStyle w:val="ListParagraph"/>
        <w:numPr>
          <w:ilvl w:val="0"/>
          <w:numId w:val="2"/>
        </w:numPr>
        <w:spacing w:before="0" w:after="0"/>
        <w:ind w:left="1560" w:hanging="300"/>
        <w:rPr>
          <w:rFonts w:eastAsia="Calibri" w:cs="Arial"/>
          <w:szCs w:val="20"/>
        </w:rPr>
      </w:pPr>
      <w:r w:rsidRPr="00284A94">
        <w:rPr>
          <w:rFonts w:eastAsia="Arial Unicode MS" w:cs="Arial"/>
          <w:bCs/>
          <w:szCs w:val="20"/>
        </w:rPr>
        <w:t>finanšu līdzsvars un rentabilitāte;</w:t>
      </w:r>
    </w:p>
    <w:p w:rsidR="00BD1610" w:rsidRPr="00284A94" w:rsidRDefault="00BD1610" w:rsidP="00BD1610">
      <w:pPr>
        <w:pStyle w:val="ListParagraph"/>
        <w:numPr>
          <w:ilvl w:val="0"/>
          <w:numId w:val="2"/>
        </w:numPr>
        <w:spacing w:before="0" w:line="240" w:lineRule="auto"/>
        <w:ind w:left="1560" w:hanging="300"/>
        <w:contextualSpacing w:val="0"/>
        <w:rPr>
          <w:rFonts w:eastAsia="Calibri" w:cs="Arial"/>
          <w:szCs w:val="20"/>
        </w:rPr>
      </w:pPr>
      <w:r w:rsidRPr="00284A94">
        <w:rPr>
          <w:rFonts w:eastAsia="Arial Unicode MS" w:cs="Arial"/>
          <w:bCs/>
          <w:szCs w:val="20"/>
        </w:rPr>
        <w:t>kompetents un profesionāls cilvēkkapitāls.</w:t>
      </w:r>
    </w:p>
    <w:p w:rsidR="00BD1610" w:rsidRPr="00284A94" w:rsidRDefault="00BD1610" w:rsidP="00BD1610">
      <w:pPr>
        <w:rPr>
          <w:iCs/>
          <w:szCs w:val="20"/>
        </w:rPr>
      </w:pPr>
      <w:r w:rsidRPr="00284A94">
        <w:rPr>
          <w:b/>
          <w:iCs/>
          <w:szCs w:val="20"/>
        </w:rPr>
        <w:t>Jāņem vērā, ka LD</w:t>
      </w:r>
      <w:r>
        <w:rPr>
          <w:b/>
          <w:iCs/>
          <w:szCs w:val="20"/>
        </w:rPr>
        <w:t xml:space="preserve">Z </w:t>
      </w:r>
      <w:r w:rsidRPr="00284A94">
        <w:rPr>
          <w:b/>
          <w:iCs/>
          <w:szCs w:val="20"/>
        </w:rPr>
        <w:t>Stratēģija ir izstrādāta mainīgas ģeopolitiskās situācijas apstākļos, kad saasinās kravu pārvadājumu konkurence starptautiskajā līmenī.</w:t>
      </w:r>
      <w:r w:rsidRPr="00284A94">
        <w:rPr>
          <w:iCs/>
          <w:szCs w:val="20"/>
        </w:rPr>
        <w:t xml:space="preserve"> </w:t>
      </w:r>
      <w:r w:rsidRPr="00284A94">
        <w:rPr>
          <w:rFonts w:cs="Arial"/>
          <w:szCs w:val="20"/>
        </w:rPr>
        <w:t>Tirgus tendences starptautiskajos dzelzceļa kravu pārvadājumos ir saistītas ar starptautisko tirdzniecību, ar ostu iespējām un to attīstību. LD</w:t>
      </w:r>
      <w:r>
        <w:rPr>
          <w:rFonts w:cs="Arial"/>
          <w:szCs w:val="20"/>
        </w:rPr>
        <w:t>Z</w:t>
      </w:r>
      <w:r w:rsidRPr="00284A94">
        <w:rPr>
          <w:rFonts w:cs="Arial"/>
          <w:szCs w:val="20"/>
        </w:rPr>
        <w:t xml:space="preserve"> kā infrastruktūras pārvaldītāja bizness ir atkarīgs no kravu pakalpojumu tirgus attīstības tendencēm, neizslēdzot globālus notikumus visā pasaulē, kas ietekmē starptautiskos kravu pārvadājumus.</w:t>
      </w:r>
    </w:p>
    <w:p w:rsidR="00BD1610" w:rsidRDefault="00BD1610" w:rsidP="00BD1610">
      <w:pPr>
        <w:spacing w:before="0" w:after="160"/>
        <w:rPr>
          <w:rFonts w:cs="Arial"/>
          <w:szCs w:val="20"/>
        </w:rPr>
      </w:pPr>
      <w:r w:rsidRPr="00284A94">
        <w:rPr>
          <w:rFonts w:cs="Arial"/>
          <w:szCs w:val="20"/>
        </w:rPr>
        <w:t>LD</w:t>
      </w:r>
      <w:r>
        <w:rPr>
          <w:rFonts w:cs="Arial"/>
          <w:szCs w:val="20"/>
        </w:rPr>
        <w:t>Z</w:t>
      </w:r>
      <w:r w:rsidRPr="00284A94">
        <w:rPr>
          <w:rFonts w:cs="Arial"/>
          <w:szCs w:val="20"/>
        </w:rPr>
        <w:t xml:space="preserve"> pamatfunkcija ir nodrošināt</w:t>
      </w:r>
      <w:r>
        <w:rPr>
          <w:rFonts w:cs="Arial"/>
          <w:szCs w:val="20"/>
        </w:rPr>
        <w:t xml:space="preserve"> publiskā</w:t>
      </w:r>
      <w:r w:rsidRPr="00284A94">
        <w:rPr>
          <w:rFonts w:cs="Arial"/>
          <w:szCs w:val="20"/>
        </w:rPr>
        <w:t xml:space="preserve"> dzelzceļa </w:t>
      </w:r>
      <w:r>
        <w:rPr>
          <w:rFonts w:cs="Arial"/>
          <w:szCs w:val="20"/>
        </w:rPr>
        <w:t xml:space="preserve">infrastruktūras </w:t>
      </w:r>
      <w:r w:rsidRPr="00284A94">
        <w:rPr>
          <w:rFonts w:cs="Arial"/>
          <w:szCs w:val="20"/>
        </w:rPr>
        <w:t>pakalpojuma cikla pilnu darbību visā valsts terito</w:t>
      </w:r>
      <w:r w:rsidRPr="00A76677">
        <w:rPr>
          <w:rFonts w:cs="Arial"/>
          <w:szCs w:val="20"/>
        </w:rPr>
        <w:t>rijā, kas īstenojama neatkarīgi no pakalpojumu saņēmēju – biznesa un iesaistīto pušu pieprasījuma attiecīgajā brīdī. LD</w:t>
      </w:r>
      <w:r>
        <w:rPr>
          <w:rFonts w:cs="Arial"/>
          <w:szCs w:val="20"/>
        </w:rPr>
        <w:t>Z</w:t>
      </w:r>
      <w:r w:rsidRPr="00A76677">
        <w:rPr>
          <w:rFonts w:cs="Arial"/>
          <w:szCs w:val="20"/>
        </w:rPr>
        <w:t xml:space="preserve"> pamatdarbības rezultātu ietekmē kravu pārvadājumu apjomu svārstības, jo maksājumi par publiskās lietošanas dzelzceļa infrastruktūras izmantošanu ir tieši proporcionāli vilcienu nobrauktajiem kilometriem, attiecīgi – LD</w:t>
      </w:r>
      <w:r>
        <w:rPr>
          <w:rFonts w:cs="Arial"/>
          <w:szCs w:val="20"/>
        </w:rPr>
        <w:t>Z</w:t>
      </w:r>
      <w:r w:rsidRPr="00A76677">
        <w:rPr>
          <w:rFonts w:cs="Arial"/>
          <w:szCs w:val="20"/>
        </w:rPr>
        <w:t xml:space="preserve"> naudas plūsma ir atkarīga no tranzītkravu</w:t>
      </w:r>
      <w:r w:rsidRPr="00284A94">
        <w:rPr>
          <w:rFonts w:cs="Arial"/>
          <w:szCs w:val="20"/>
        </w:rPr>
        <w:t xml:space="preserve"> pārvadājumu apjoma.</w:t>
      </w:r>
    </w:p>
    <w:p w:rsidR="00BD1610" w:rsidRDefault="00BD1610">
      <w:pPr>
        <w:spacing w:before="0" w:after="160"/>
        <w:jc w:val="left"/>
        <w:rPr>
          <w:rFonts w:eastAsia="Arial Unicode MS" w:cs="Arial"/>
          <w:szCs w:val="20"/>
        </w:rPr>
      </w:pPr>
      <w:r>
        <w:rPr>
          <w:rFonts w:eastAsia="Arial Unicode MS" w:cs="Arial"/>
          <w:szCs w:val="20"/>
        </w:rPr>
        <w:br w:type="page"/>
      </w:r>
    </w:p>
    <w:p w:rsidR="00BD1610" w:rsidRDefault="00BD1610" w:rsidP="00BD1610">
      <w:pPr>
        <w:spacing w:before="0" w:after="160"/>
        <w:jc w:val="left"/>
        <w:rPr>
          <w:rFonts w:eastAsia="Arial Unicode MS" w:cs="Arial"/>
          <w:szCs w:val="20"/>
        </w:rPr>
      </w:pPr>
      <w:r w:rsidRPr="006E5CBD">
        <w:rPr>
          <w:rFonts w:eastAsia="Arial Unicode MS" w:cs="Arial"/>
          <w:szCs w:val="20"/>
        </w:rPr>
        <w:lastRenderedPageBreak/>
        <w:t>L</w:t>
      </w:r>
      <w:r>
        <w:rPr>
          <w:rFonts w:eastAsia="Arial Unicode MS" w:cs="Arial"/>
          <w:szCs w:val="20"/>
        </w:rPr>
        <w:t>DZ</w:t>
      </w:r>
      <w:r w:rsidRPr="006E5CBD">
        <w:rPr>
          <w:rFonts w:eastAsia="Arial Unicode MS" w:cs="Arial"/>
          <w:szCs w:val="20"/>
        </w:rPr>
        <w:t xml:space="preserve"> organizatoriskās struktūras shēma </w:t>
      </w:r>
      <w:r w:rsidRPr="00DC4966">
        <w:rPr>
          <w:rFonts w:eastAsia="Arial Unicode MS" w:cs="Arial"/>
          <w:szCs w:val="20"/>
        </w:rPr>
        <w:t>ir šāda</w:t>
      </w:r>
      <w:r w:rsidRPr="006E5CBD">
        <w:rPr>
          <w:rFonts w:eastAsia="Arial Unicode MS" w:cs="Arial"/>
          <w:szCs w:val="20"/>
        </w:rPr>
        <w:t>:</w:t>
      </w:r>
      <w:r>
        <w:rPr>
          <w:rFonts w:eastAsia="Arial Unicode MS" w:cs="Arial"/>
          <w:szCs w:val="20"/>
        </w:rPr>
        <w:t xml:space="preserve">  </w:t>
      </w:r>
    </w:p>
    <w:p w:rsidR="00BD1610" w:rsidRDefault="00BD1610" w:rsidP="00BD1610">
      <w:pPr>
        <w:spacing w:before="0" w:after="160"/>
        <w:jc w:val="left"/>
        <w:rPr>
          <w:rFonts w:eastAsia="Times New Roman"/>
          <w:szCs w:val="20"/>
        </w:rPr>
      </w:pPr>
      <w:r>
        <w:rPr>
          <w:noProof/>
          <w:lang w:eastAsia="lv-LV"/>
        </w:rPr>
        <w:drawing>
          <wp:inline distT="0" distB="0" distL="0" distR="0" wp14:anchorId="763BF3AD" wp14:editId="75003193">
            <wp:extent cx="5278094" cy="4308822"/>
            <wp:effectExtent l="0" t="0" r="0" b="0"/>
            <wp:docPr id="18" name="Picture 18" descr="https://www.ldz.lv/sites/default/files/Strukturu%20shema%20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dz.lv/sites/default/files/Strukturu%20shema%20L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1850" cy="4311889"/>
                    </a:xfrm>
                    <a:prstGeom prst="rect">
                      <a:avLst/>
                    </a:prstGeom>
                    <a:noFill/>
                    <a:ln>
                      <a:noFill/>
                    </a:ln>
                  </pic:spPr>
                </pic:pic>
              </a:graphicData>
            </a:graphic>
          </wp:inline>
        </w:drawing>
      </w:r>
    </w:p>
    <w:p w:rsidR="00142C0E" w:rsidRDefault="00142C0E">
      <w:pPr>
        <w:spacing w:before="0" w:after="160"/>
        <w:jc w:val="left"/>
        <w:rPr>
          <w:rFonts w:eastAsia="Times New Roman" w:cstheme="majorBidi"/>
          <w:b/>
          <w:szCs w:val="20"/>
        </w:rPr>
      </w:pPr>
      <w:r>
        <w:rPr>
          <w:rFonts w:eastAsia="Times New Roman"/>
          <w:szCs w:val="20"/>
        </w:rPr>
        <w:br w:type="page"/>
      </w:r>
    </w:p>
    <w:p w:rsidR="00142C0E" w:rsidRDefault="00142C0E" w:rsidP="00A336EC">
      <w:pPr>
        <w:pStyle w:val="Heading1"/>
        <w:numPr>
          <w:ilvl w:val="0"/>
          <w:numId w:val="0"/>
        </w:numPr>
        <w:spacing w:before="0" w:line="240" w:lineRule="auto"/>
        <w:rPr>
          <w:rFonts w:eastAsia="Times New Roman"/>
          <w:sz w:val="20"/>
          <w:szCs w:val="20"/>
        </w:rPr>
        <w:sectPr w:rsidR="00142C0E" w:rsidSect="00EB3ABF">
          <w:pgSz w:w="11906" w:h="16838"/>
          <w:pgMar w:top="1670" w:right="1133" w:bottom="1440" w:left="1797" w:header="709" w:footer="709" w:gutter="0"/>
          <w:cols w:space="708"/>
          <w:docGrid w:linePitch="360"/>
        </w:sectPr>
      </w:pPr>
    </w:p>
    <w:p w:rsidR="00A336EC" w:rsidRPr="00D21138" w:rsidRDefault="00A336EC" w:rsidP="009E2A5D">
      <w:pPr>
        <w:pStyle w:val="Heading1"/>
        <w:numPr>
          <w:ilvl w:val="0"/>
          <w:numId w:val="4"/>
        </w:numPr>
        <w:spacing w:before="0" w:line="240" w:lineRule="auto"/>
        <w:rPr>
          <w:rFonts w:eastAsia="Times New Roman"/>
          <w:b w:val="0"/>
          <w:sz w:val="20"/>
          <w:szCs w:val="20"/>
        </w:rPr>
      </w:pPr>
      <w:r w:rsidRPr="00D21138">
        <w:rPr>
          <w:rFonts w:eastAsia="Times New Roman"/>
          <w:b w:val="0"/>
          <w:sz w:val="20"/>
          <w:szCs w:val="20"/>
        </w:rPr>
        <w:lastRenderedPageBreak/>
        <w:t>Vīzija, misija un vērtības</w:t>
      </w:r>
      <w:bookmarkEnd w:id="0"/>
      <w:bookmarkEnd w:id="1"/>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36"/>
        <w:gridCol w:w="3313"/>
        <w:gridCol w:w="2977"/>
        <w:gridCol w:w="2801"/>
        <w:gridCol w:w="1452"/>
        <w:gridCol w:w="992"/>
      </w:tblGrid>
      <w:tr w:rsidR="00A336EC" w:rsidRPr="00DC4966" w:rsidTr="00BD1610">
        <w:tc>
          <w:tcPr>
            <w:tcW w:w="2263" w:type="dxa"/>
            <w:shd w:val="clear" w:color="auto" w:fill="8E0000"/>
          </w:tcPr>
          <w:p w:rsidR="00A336EC" w:rsidRPr="00DC4966" w:rsidRDefault="00A336EC" w:rsidP="007C48F7">
            <w:pPr>
              <w:spacing w:before="0" w:after="0" w:line="259" w:lineRule="auto"/>
              <w:jc w:val="left"/>
              <w:rPr>
                <w:rFonts w:eastAsia="Calibri" w:cs="Arial"/>
                <w:szCs w:val="20"/>
              </w:rPr>
            </w:pPr>
            <w:r w:rsidRPr="006E5CBD">
              <w:rPr>
                <w:rFonts w:eastAsia="Calibri" w:cs="Arial"/>
                <w:szCs w:val="20"/>
              </w:rPr>
              <w:t>Misija</w:t>
            </w:r>
          </w:p>
        </w:tc>
        <w:tc>
          <w:tcPr>
            <w:tcW w:w="236" w:type="dxa"/>
            <w:tcBorders>
              <w:right w:val="single" w:sz="12" w:space="0" w:color="C00000"/>
            </w:tcBorders>
          </w:tcPr>
          <w:p w:rsidR="00A336EC" w:rsidRPr="00DC4966" w:rsidRDefault="00A336EC" w:rsidP="007C48F7">
            <w:pPr>
              <w:spacing w:before="0" w:after="0" w:line="259" w:lineRule="auto"/>
              <w:jc w:val="left"/>
              <w:rPr>
                <w:rFonts w:eastAsia="Calibri" w:cs="Arial"/>
                <w:szCs w:val="20"/>
              </w:rPr>
            </w:pPr>
          </w:p>
        </w:tc>
        <w:tc>
          <w:tcPr>
            <w:tcW w:w="11535" w:type="dxa"/>
            <w:gridSpan w:val="5"/>
            <w:tcBorders>
              <w:top w:val="single" w:sz="12" w:space="0" w:color="C00000"/>
              <w:left w:val="single" w:sz="12" w:space="0" w:color="C00000"/>
              <w:bottom w:val="single" w:sz="12" w:space="0" w:color="C00000"/>
              <w:right w:val="single" w:sz="12" w:space="0" w:color="C00000"/>
            </w:tcBorders>
          </w:tcPr>
          <w:p w:rsidR="00A336EC" w:rsidRPr="00DC4966" w:rsidRDefault="00A336EC" w:rsidP="007C48F7">
            <w:pPr>
              <w:spacing w:before="0" w:after="0" w:line="259" w:lineRule="auto"/>
              <w:jc w:val="left"/>
              <w:rPr>
                <w:rFonts w:eastAsia="Calibri" w:cs="Arial"/>
                <w:szCs w:val="20"/>
              </w:rPr>
            </w:pPr>
            <w:r w:rsidRPr="006E5CBD">
              <w:rPr>
                <w:rFonts w:eastAsia="Calibri" w:cs="Arial"/>
                <w:szCs w:val="20"/>
              </w:rPr>
              <w:t xml:space="preserve">Nodrošināt dzelzceļa infrastruktūras pārvaldīšanu un drošus, augstas kvalitātes un efektīvus dzelzceļa un loģistikas pakalpojumus valsts, sabiedrības un Latvijas tautsaimniecības </w:t>
            </w:r>
            <w:r w:rsidRPr="006E5CBD">
              <w:rPr>
                <w:rFonts w:cs="Arial"/>
                <w:szCs w:val="20"/>
              </w:rPr>
              <w:t>interesēs.</w:t>
            </w:r>
          </w:p>
        </w:tc>
      </w:tr>
      <w:tr w:rsidR="00A336EC" w:rsidRPr="00DC4966" w:rsidTr="00BD1610">
        <w:trPr>
          <w:trHeight w:val="50"/>
        </w:trPr>
        <w:tc>
          <w:tcPr>
            <w:tcW w:w="2263" w:type="dxa"/>
            <w:shd w:val="clear" w:color="auto" w:fill="auto"/>
          </w:tcPr>
          <w:p w:rsidR="00A336EC" w:rsidRPr="00DC4966" w:rsidRDefault="00A336EC" w:rsidP="007C48F7">
            <w:pPr>
              <w:spacing w:before="0" w:after="0" w:line="259" w:lineRule="auto"/>
              <w:jc w:val="left"/>
              <w:rPr>
                <w:rFonts w:eastAsia="Calibri" w:cs="Arial"/>
                <w:szCs w:val="20"/>
              </w:rPr>
            </w:pPr>
          </w:p>
        </w:tc>
        <w:tc>
          <w:tcPr>
            <w:tcW w:w="236" w:type="dxa"/>
            <w:shd w:val="clear" w:color="auto" w:fill="auto"/>
          </w:tcPr>
          <w:p w:rsidR="00A336EC" w:rsidRPr="00DC4966" w:rsidRDefault="00A336EC" w:rsidP="007C48F7">
            <w:pPr>
              <w:spacing w:before="0" w:after="0" w:line="259" w:lineRule="auto"/>
              <w:jc w:val="left"/>
              <w:rPr>
                <w:rFonts w:eastAsia="Calibri" w:cs="Arial"/>
                <w:szCs w:val="20"/>
              </w:rPr>
            </w:pPr>
          </w:p>
        </w:tc>
        <w:tc>
          <w:tcPr>
            <w:tcW w:w="11535" w:type="dxa"/>
            <w:gridSpan w:val="5"/>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r>
      <w:tr w:rsidR="00A336EC" w:rsidRPr="00DC4966" w:rsidTr="00BD1610">
        <w:tc>
          <w:tcPr>
            <w:tcW w:w="2263" w:type="dxa"/>
            <w:shd w:val="clear" w:color="auto" w:fill="8E0000"/>
          </w:tcPr>
          <w:p w:rsidR="00A336EC" w:rsidRPr="00DC4966" w:rsidRDefault="00A336EC" w:rsidP="007C48F7">
            <w:pPr>
              <w:spacing w:before="0" w:after="0" w:line="259" w:lineRule="auto"/>
              <w:jc w:val="left"/>
              <w:rPr>
                <w:rFonts w:eastAsia="Calibri" w:cs="Arial"/>
                <w:szCs w:val="20"/>
              </w:rPr>
            </w:pPr>
            <w:r w:rsidRPr="006E5CBD">
              <w:rPr>
                <w:rFonts w:eastAsia="Calibri" w:cs="Arial"/>
                <w:szCs w:val="20"/>
              </w:rPr>
              <w:t>Vīzija</w:t>
            </w:r>
          </w:p>
        </w:tc>
        <w:tc>
          <w:tcPr>
            <w:tcW w:w="236" w:type="dxa"/>
            <w:tcBorders>
              <w:right w:val="single" w:sz="12" w:space="0" w:color="C00000"/>
            </w:tcBorders>
          </w:tcPr>
          <w:p w:rsidR="00A336EC" w:rsidRPr="00DC4966" w:rsidRDefault="00A336EC" w:rsidP="007C48F7">
            <w:pPr>
              <w:spacing w:before="0" w:after="0" w:line="259" w:lineRule="auto"/>
              <w:jc w:val="left"/>
              <w:rPr>
                <w:rFonts w:eastAsia="Calibri" w:cs="Arial"/>
                <w:szCs w:val="20"/>
              </w:rPr>
            </w:pPr>
          </w:p>
        </w:tc>
        <w:tc>
          <w:tcPr>
            <w:tcW w:w="11535" w:type="dxa"/>
            <w:gridSpan w:val="5"/>
            <w:tcBorders>
              <w:top w:val="single" w:sz="12" w:space="0" w:color="C00000"/>
              <w:left w:val="single" w:sz="12" w:space="0" w:color="C00000"/>
              <w:bottom w:val="single" w:sz="12" w:space="0" w:color="C00000"/>
              <w:right w:val="single" w:sz="12" w:space="0" w:color="C00000"/>
            </w:tcBorders>
          </w:tcPr>
          <w:p w:rsidR="00A336EC" w:rsidRPr="00DC4966" w:rsidRDefault="00A336EC" w:rsidP="007C48F7">
            <w:pPr>
              <w:spacing w:before="0" w:after="0" w:line="259" w:lineRule="auto"/>
              <w:jc w:val="left"/>
              <w:rPr>
                <w:iCs/>
                <w:szCs w:val="20"/>
              </w:rPr>
            </w:pPr>
            <w:r w:rsidRPr="006E5CBD">
              <w:rPr>
                <w:iCs/>
                <w:szCs w:val="20"/>
              </w:rPr>
              <w:t>Kļūt par vienu no labāk pārvaldītajiem uzņēmumiem valstī, kas ir stabils, ilgtspējīgs un uzticams partneris nozarē ar ilglaicīgu pieredzi un stabilām pozīcijām tirgū, kas nodrošina konkurētspējīgus pakalpojumus un efektīvu dzelzceļa infrastruktūras pārvaldību.</w:t>
            </w:r>
          </w:p>
        </w:tc>
      </w:tr>
      <w:tr w:rsidR="00A336EC" w:rsidRPr="00DC4966" w:rsidTr="00BD1610">
        <w:tc>
          <w:tcPr>
            <w:tcW w:w="2263" w:type="dxa"/>
            <w:shd w:val="clear" w:color="auto" w:fill="auto"/>
          </w:tcPr>
          <w:p w:rsidR="00A336EC" w:rsidRPr="00DC4966" w:rsidRDefault="00A336EC" w:rsidP="007C48F7">
            <w:pPr>
              <w:spacing w:before="0" w:after="0" w:line="259" w:lineRule="auto"/>
              <w:jc w:val="left"/>
              <w:rPr>
                <w:rFonts w:eastAsia="Calibri" w:cs="Arial"/>
                <w:szCs w:val="20"/>
              </w:rPr>
            </w:pPr>
          </w:p>
        </w:tc>
        <w:tc>
          <w:tcPr>
            <w:tcW w:w="236" w:type="dxa"/>
            <w:shd w:val="clear" w:color="auto" w:fill="auto"/>
          </w:tcPr>
          <w:p w:rsidR="00A336EC" w:rsidRPr="00DC4966" w:rsidRDefault="00A336EC" w:rsidP="007C48F7">
            <w:pPr>
              <w:spacing w:before="0" w:after="0" w:line="259" w:lineRule="auto"/>
              <w:jc w:val="left"/>
              <w:rPr>
                <w:rFonts w:eastAsia="Calibri" w:cs="Arial"/>
                <w:szCs w:val="20"/>
              </w:rPr>
            </w:pPr>
          </w:p>
        </w:tc>
        <w:tc>
          <w:tcPr>
            <w:tcW w:w="3313"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2977"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2801"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1452"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992"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r>
      <w:tr w:rsidR="00A336EC" w:rsidRPr="00DC4966" w:rsidTr="00BD1610">
        <w:tc>
          <w:tcPr>
            <w:tcW w:w="2263" w:type="dxa"/>
            <w:shd w:val="clear" w:color="auto" w:fill="8E0000"/>
          </w:tcPr>
          <w:p w:rsidR="00A336EC" w:rsidRPr="00DC4966" w:rsidRDefault="00A336EC" w:rsidP="007C48F7">
            <w:pPr>
              <w:spacing w:before="0" w:after="0" w:line="259" w:lineRule="auto"/>
              <w:jc w:val="left"/>
              <w:rPr>
                <w:rFonts w:eastAsia="Calibri" w:cs="Arial"/>
                <w:szCs w:val="20"/>
              </w:rPr>
            </w:pPr>
            <w:r w:rsidRPr="006E5CBD">
              <w:rPr>
                <w:rFonts w:eastAsia="Calibri" w:cs="Arial"/>
                <w:szCs w:val="20"/>
              </w:rPr>
              <w:t xml:space="preserve">Vērtības </w:t>
            </w:r>
          </w:p>
        </w:tc>
        <w:tc>
          <w:tcPr>
            <w:tcW w:w="236" w:type="dxa"/>
            <w:tcBorders>
              <w:right w:val="single" w:sz="12" w:space="0" w:color="C00000"/>
            </w:tcBorders>
          </w:tcPr>
          <w:p w:rsidR="00A336EC" w:rsidRPr="00DC4966" w:rsidRDefault="00A336EC" w:rsidP="007C48F7">
            <w:pPr>
              <w:spacing w:before="0" w:after="0" w:line="259" w:lineRule="auto"/>
              <w:jc w:val="left"/>
              <w:rPr>
                <w:rFonts w:eastAsia="Calibri" w:cs="Arial"/>
                <w:szCs w:val="20"/>
              </w:rPr>
            </w:pPr>
          </w:p>
        </w:tc>
        <w:tc>
          <w:tcPr>
            <w:tcW w:w="3313" w:type="dxa"/>
            <w:tcBorders>
              <w:top w:val="single" w:sz="12" w:space="0" w:color="C00000"/>
              <w:left w:val="single" w:sz="12" w:space="0" w:color="C00000"/>
              <w:bottom w:val="single" w:sz="12" w:space="0" w:color="C00000"/>
              <w:right w:val="single" w:sz="12" w:space="0" w:color="C00000"/>
            </w:tcBorders>
          </w:tcPr>
          <w:p w:rsidR="00A336EC" w:rsidRPr="00DC4966" w:rsidRDefault="00A336EC" w:rsidP="007C48F7">
            <w:pPr>
              <w:spacing w:before="0" w:after="0" w:line="259" w:lineRule="auto"/>
              <w:jc w:val="center"/>
              <w:rPr>
                <w:rFonts w:eastAsia="Calibri" w:cs="Arial"/>
                <w:b/>
                <w:szCs w:val="20"/>
              </w:rPr>
            </w:pPr>
            <w:r w:rsidRPr="006E5CBD">
              <w:rPr>
                <w:rFonts w:eastAsia="Calibri" w:cs="Arial"/>
                <w:b/>
                <w:szCs w:val="20"/>
              </w:rPr>
              <w:t>Attīstība</w:t>
            </w:r>
          </w:p>
        </w:tc>
        <w:tc>
          <w:tcPr>
            <w:tcW w:w="2977" w:type="dxa"/>
            <w:tcBorders>
              <w:top w:val="single" w:sz="12" w:space="0" w:color="C00000"/>
              <w:left w:val="single" w:sz="12" w:space="0" w:color="C00000"/>
              <w:bottom w:val="single" w:sz="12" w:space="0" w:color="C00000"/>
              <w:right w:val="single" w:sz="12" w:space="0" w:color="C00000"/>
            </w:tcBorders>
          </w:tcPr>
          <w:p w:rsidR="00A336EC" w:rsidRPr="00DC4966" w:rsidRDefault="00A336EC" w:rsidP="007C48F7">
            <w:pPr>
              <w:spacing w:before="0" w:after="0" w:line="259" w:lineRule="auto"/>
              <w:jc w:val="center"/>
              <w:rPr>
                <w:rFonts w:eastAsia="Calibri" w:cs="Arial"/>
                <w:b/>
                <w:szCs w:val="20"/>
              </w:rPr>
            </w:pPr>
            <w:r w:rsidRPr="006E5CBD">
              <w:rPr>
                <w:rFonts w:eastAsia="Calibri" w:cs="Arial"/>
                <w:b/>
                <w:szCs w:val="20"/>
              </w:rPr>
              <w:t>Atbildība</w:t>
            </w:r>
          </w:p>
        </w:tc>
        <w:tc>
          <w:tcPr>
            <w:tcW w:w="2801" w:type="dxa"/>
            <w:tcBorders>
              <w:top w:val="single" w:sz="12" w:space="0" w:color="C00000"/>
              <w:left w:val="single" w:sz="12" w:space="0" w:color="C00000"/>
              <w:bottom w:val="single" w:sz="12" w:space="0" w:color="C00000"/>
              <w:right w:val="single" w:sz="12" w:space="0" w:color="C00000"/>
            </w:tcBorders>
          </w:tcPr>
          <w:p w:rsidR="00A336EC" w:rsidRPr="00DC4966" w:rsidRDefault="00A336EC" w:rsidP="007C48F7">
            <w:pPr>
              <w:spacing w:before="0" w:after="0" w:line="259" w:lineRule="auto"/>
              <w:jc w:val="center"/>
              <w:rPr>
                <w:rFonts w:eastAsia="Calibri" w:cs="Arial"/>
                <w:b/>
                <w:szCs w:val="20"/>
              </w:rPr>
            </w:pPr>
            <w:r w:rsidRPr="006E5CBD">
              <w:rPr>
                <w:rFonts w:eastAsia="Calibri" w:cs="Arial"/>
                <w:b/>
                <w:szCs w:val="20"/>
              </w:rPr>
              <w:t>Drošība</w:t>
            </w:r>
          </w:p>
        </w:tc>
        <w:tc>
          <w:tcPr>
            <w:tcW w:w="2444" w:type="dxa"/>
            <w:gridSpan w:val="2"/>
            <w:tcBorders>
              <w:top w:val="single" w:sz="12" w:space="0" w:color="C00000"/>
              <w:left w:val="single" w:sz="12" w:space="0" w:color="C00000"/>
              <w:bottom w:val="single" w:sz="12" w:space="0" w:color="C00000"/>
              <w:right w:val="single" w:sz="12" w:space="0" w:color="C00000"/>
            </w:tcBorders>
          </w:tcPr>
          <w:p w:rsidR="00A336EC" w:rsidRPr="00DC4966" w:rsidRDefault="00A336EC" w:rsidP="007C48F7">
            <w:pPr>
              <w:spacing w:before="0" w:after="0" w:line="259" w:lineRule="auto"/>
              <w:jc w:val="center"/>
              <w:rPr>
                <w:rFonts w:eastAsia="Calibri" w:cs="Arial"/>
                <w:b/>
                <w:szCs w:val="20"/>
              </w:rPr>
            </w:pPr>
            <w:r w:rsidRPr="006E5CBD">
              <w:rPr>
                <w:rFonts w:eastAsia="Calibri" w:cs="Arial"/>
                <w:b/>
                <w:szCs w:val="20"/>
              </w:rPr>
              <w:t>Sadarbība</w:t>
            </w:r>
          </w:p>
        </w:tc>
      </w:tr>
      <w:tr w:rsidR="00A336EC" w:rsidRPr="00DC4966" w:rsidTr="00BD1610">
        <w:tc>
          <w:tcPr>
            <w:tcW w:w="2263" w:type="dxa"/>
            <w:shd w:val="clear" w:color="auto" w:fill="auto"/>
          </w:tcPr>
          <w:p w:rsidR="00A336EC" w:rsidRPr="00DC4966" w:rsidRDefault="00A336EC" w:rsidP="007C48F7">
            <w:pPr>
              <w:spacing w:before="0" w:after="0" w:line="259" w:lineRule="auto"/>
              <w:jc w:val="left"/>
              <w:rPr>
                <w:rFonts w:eastAsia="Calibri" w:cs="Arial"/>
                <w:szCs w:val="20"/>
              </w:rPr>
            </w:pPr>
          </w:p>
        </w:tc>
        <w:tc>
          <w:tcPr>
            <w:tcW w:w="236" w:type="dxa"/>
            <w:shd w:val="clear" w:color="auto" w:fill="auto"/>
          </w:tcPr>
          <w:p w:rsidR="00A336EC" w:rsidRPr="00DC4966" w:rsidRDefault="00A336EC" w:rsidP="007C48F7">
            <w:pPr>
              <w:spacing w:before="0" w:after="0" w:line="259" w:lineRule="auto"/>
              <w:jc w:val="left"/>
              <w:rPr>
                <w:rFonts w:eastAsia="Calibri" w:cs="Arial"/>
                <w:szCs w:val="20"/>
              </w:rPr>
            </w:pPr>
          </w:p>
        </w:tc>
        <w:tc>
          <w:tcPr>
            <w:tcW w:w="3313"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2977"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2801"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1452"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c>
          <w:tcPr>
            <w:tcW w:w="992" w:type="dxa"/>
            <w:tcBorders>
              <w:top w:val="single" w:sz="12" w:space="0" w:color="C00000"/>
              <w:bottom w:val="single" w:sz="12" w:space="0" w:color="C00000"/>
            </w:tcBorders>
            <w:shd w:val="clear" w:color="auto" w:fill="auto"/>
          </w:tcPr>
          <w:p w:rsidR="00A336EC" w:rsidRPr="00DC4966" w:rsidRDefault="00A336EC" w:rsidP="007C48F7">
            <w:pPr>
              <w:spacing w:before="0" w:after="0" w:line="259" w:lineRule="auto"/>
              <w:jc w:val="left"/>
              <w:rPr>
                <w:rFonts w:eastAsia="Calibri" w:cs="Arial"/>
                <w:szCs w:val="20"/>
              </w:rPr>
            </w:pPr>
          </w:p>
        </w:tc>
      </w:tr>
      <w:tr w:rsidR="00A336EC" w:rsidRPr="00DC4966" w:rsidTr="00BD1610">
        <w:tc>
          <w:tcPr>
            <w:tcW w:w="2263" w:type="dxa"/>
            <w:vMerge w:val="restart"/>
            <w:shd w:val="clear" w:color="auto" w:fill="8E0000"/>
          </w:tcPr>
          <w:p w:rsidR="00A336EC" w:rsidRPr="00DC4966" w:rsidRDefault="00A336EC" w:rsidP="007C48F7">
            <w:pPr>
              <w:spacing w:before="0" w:after="0" w:line="259" w:lineRule="auto"/>
              <w:jc w:val="left"/>
              <w:rPr>
                <w:rFonts w:eastAsia="Calibri" w:cs="Arial"/>
                <w:szCs w:val="20"/>
              </w:rPr>
            </w:pPr>
            <w:r w:rsidRPr="006E5CBD">
              <w:rPr>
                <w:rFonts w:eastAsia="Calibri" w:cs="Arial"/>
                <w:szCs w:val="20"/>
              </w:rPr>
              <w:t xml:space="preserve">Biznesa un </w:t>
            </w:r>
            <w:r>
              <w:rPr>
                <w:rFonts w:eastAsia="Calibri" w:cs="Arial"/>
                <w:szCs w:val="20"/>
              </w:rPr>
              <w:t>s</w:t>
            </w:r>
            <w:r w:rsidRPr="006E5CBD">
              <w:rPr>
                <w:rFonts w:eastAsia="Calibri" w:cs="Arial"/>
                <w:szCs w:val="20"/>
              </w:rPr>
              <w:t>tratēģiskie mērķi</w:t>
            </w:r>
          </w:p>
        </w:tc>
        <w:tc>
          <w:tcPr>
            <w:tcW w:w="236" w:type="dxa"/>
            <w:vMerge w:val="restart"/>
            <w:tcBorders>
              <w:right w:val="single" w:sz="12" w:space="0" w:color="C00000"/>
            </w:tcBorders>
          </w:tcPr>
          <w:p w:rsidR="00A336EC" w:rsidRPr="00DC4966" w:rsidRDefault="00A336EC" w:rsidP="007C48F7">
            <w:pPr>
              <w:spacing w:before="0" w:after="0" w:line="259" w:lineRule="auto"/>
              <w:jc w:val="left"/>
              <w:rPr>
                <w:rFonts w:eastAsia="Calibri" w:cs="Arial"/>
                <w:szCs w:val="20"/>
              </w:rPr>
            </w:pPr>
          </w:p>
        </w:tc>
        <w:tc>
          <w:tcPr>
            <w:tcW w:w="3313" w:type="dxa"/>
            <w:tcBorders>
              <w:top w:val="single" w:sz="12" w:space="0" w:color="C00000"/>
              <w:left w:val="single" w:sz="12" w:space="0" w:color="C00000"/>
              <w:bottom w:val="single" w:sz="12" w:space="0" w:color="C00000"/>
              <w:right w:val="single" w:sz="12" w:space="0" w:color="C00000"/>
            </w:tcBorders>
            <w:shd w:val="clear" w:color="auto" w:fill="F7CAAC"/>
          </w:tcPr>
          <w:p w:rsidR="00A336EC" w:rsidRPr="001C2BFA" w:rsidRDefault="00A336EC" w:rsidP="007C48F7">
            <w:pPr>
              <w:spacing w:before="0" w:after="0" w:line="259" w:lineRule="auto"/>
              <w:jc w:val="center"/>
              <w:rPr>
                <w:rFonts w:eastAsia="Calibri" w:cs="Arial"/>
                <w:b/>
                <w:szCs w:val="20"/>
                <w:lang w:val="de-DE"/>
              </w:rPr>
            </w:pPr>
            <w:r w:rsidRPr="001C2BFA">
              <w:rPr>
                <w:rFonts w:eastAsia="Calibri" w:cs="Arial"/>
                <w:b/>
                <w:szCs w:val="20"/>
                <w:lang w:val="de-DE"/>
              </w:rPr>
              <w:t xml:space="preserve"> Uz klientu orientēti pakalpojumi</w:t>
            </w:r>
          </w:p>
          <w:p w:rsidR="00A336EC" w:rsidRPr="001C2BFA" w:rsidRDefault="00A336EC" w:rsidP="007C48F7">
            <w:pPr>
              <w:spacing w:before="0" w:after="0" w:line="259" w:lineRule="auto"/>
              <w:jc w:val="center"/>
              <w:rPr>
                <w:rFonts w:eastAsia="Calibri" w:cs="Arial"/>
                <w:b/>
                <w:szCs w:val="20"/>
                <w:lang w:val="de-DE"/>
              </w:rPr>
            </w:pPr>
            <w:r w:rsidRPr="001C2BFA">
              <w:rPr>
                <w:rFonts w:eastAsia="Calibri" w:cs="Arial"/>
                <w:b/>
                <w:szCs w:val="20"/>
                <w:lang w:val="de-DE"/>
              </w:rPr>
              <w:t>Transporta drošums un satiksmes drošība</w:t>
            </w:r>
          </w:p>
          <w:p w:rsidR="00A336EC" w:rsidRPr="001C2BFA" w:rsidRDefault="00A336EC" w:rsidP="007C48F7">
            <w:pPr>
              <w:spacing w:before="0" w:after="0" w:line="259" w:lineRule="auto"/>
              <w:jc w:val="center"/>
              <w:rPr>
                <w:rFonts w:eastAsia="Calibri" w:cs="Arial"/>
                <w:b/>
                <w:szCs w:val="20"/>
                <w:lang w:val="de-DE"/>
              </w:rPr>
            </w:pPr>
          </w:p>
        </w:tc>
        <w:tc>
          <w:tcPr>
            <w:tcW w:w="2977" w:type="dxa"/>
            <w:tcBorders>
              <w:top w:val="single" w:sz="12" w:space="0" w:color="C00000"/>
              <w:left w:val="single" w:sz="12" w:space="0" w:color="C00000"/>
              <w:bottom w:val="single" w:sz="12" w:space="0" w:color="C00000"/>
              <w:right w:val="single" w:sz="12" w:space="0" w:color="C00000"/>
            </w:tcBorders>
            <w:shd w:val="clear" w:color="auto" w:fill="F7CAAC"/>
          </w:tcPr>
          <w:p w:rsidR="00A336EC" w:rsidRPr="00DC4966" w:rsidRDefault="00A336EC" w:rsidP="007C48F7">
            <w:pPr>
              <w:spacing w:before="0" w:after="0" w:line="259" w:lineRule="auto"/>
              <w:jc w:val="center"/>
              <w:rPr>
                <w:rFonts w:eastAsia="Calibri" w:cs="Arial"/>
                <w:b/>
                <w:szCs w:val="20"/>
              </w:rPr>
            </w:pPr>
            <w:r w:rsidRPr="006E5CBD">
              <w:rPr>
                <w:rFonts w:eastAsia="Calibri" w:cs="Arial"/>
                <w:b/>
                <w:szCs w:val="20"/>
              </w:rPr>
              <w:t>Efektīva procesu pārvaldība mainīgos tirgus apstākļos</w:t>
            </w:r>
          </w:p>
          <w:p w:rsidR="00A336EC" w:rsidRPr="00DC4966" w:rsidRDefault="00A336EC" w:rsidP="007C48F7">
            <w:pPr>
              <w:spacing w:before="0" w:after="0" w:line="259" w:lineRule="auto"/>
              <w:jc w:val="center"/>
              <w:rPr>
                <w:rFonts w:eastAsia="Calibri" w:cs="Arial"/>
                <w:b/>
                <w:szCs w:val="20"/>
              </w:rPr>
            </w:pPr>
          </w:p>
        </w:tc>
        <w:tc>
          <w:tcPr>
            <w:tcW w:w="2801" w:type="dxa"/>
            <w:tcBorders>
              <w:top w:val="single" w:sz="12" w:space="0" w:color="C00000"/>
              <w:left w:val="single" w:sz="12" w:space="0" w:color="C00000"/>
              <w:bottom w:val="single" w:sz="12" w:space="0" w:color="C00000"/>
              <w:right w:val="single" w:sz="12" w:space="0" w:color="C00000"/>
            </w:tcBorders>
            <w:shd w:val="clear" w:color="auto" w:fill="F7CAAC"/>
          </w:tcPr>
          <w:p w:rsidR="00A336EC" w:rsidRPr="00DC4966" w:rsidRDefault="00A336EC" w:rsidP="007C48F7">
            <w:pPr>
              <w:spacing w:before="0" w:after="0" w:line="259" w:lineRule="auto"/>
              <w:jc w:val="center"/>
              <w:rPr>
                <w:rFonts w:eastAsia="Calibri" w:cs="Arial"/>
                <w:b/>
                <w:szCs w:val="20"/>
              </w:rPr>
            </w:pPr>
            <w:r w:rsidRPr="006E5CBD">
              <w:rPr>
                <w:rFonts w:eastAsia="Arial Unicode MS" w:cs="Arial"/>
                <w:b/>
                <w:bCs/>
                <w:color w:val="171717" w:themeColor="background2" w:themeShade="1A"/>
                <w:szCs w:val="20"/>
              </w:rPr>
              <w:t>Finanšu līdzsvars un rentabilitāte</w:t>
            </w:r>
          </w:p>
        </w:tc>
        <w:tc>
          <w:tcPr>
            <w:tcW w:w="2444" w:type="dxa"/>
            <w:gridSpan w:val="2"/>
            <w:tcBorders>
              <w:top w:val="single" w:sz="12" w:space="0" w:color="C00000"/>
              <w:left w:val="single" w:sz="12" w:space="0" w:color="C00000"/>
              <w:bottom w:val="single" w:sz="12" w:space="0" w:color="C00000"/>
              <w:right w:val="single" w:sz="12" w:space="0" w:color="C00000"/>
            </w:tcBorders>
            <w:shd w:val="clear" w:color="auto" w:fill="F7CAAC"/>
          </w:tcPr>
          <w:p w:rsidR="00A336EC" w:rsidRPr="00DC4966" w:rsidRDefault="00A336EC" w:rsidP="007C48F7">
            <w:pPr>
              <w:spacing w:before="0" w:after="0" w:line="259" w:lineRule="auto"/>
              <w:jc w:val="center"/>
              <w:rPr>
                <w:rFonts w:eastAsia="Calibri" w:cs="Arial"/>
                <w:b/>
                <w:szCs w:val="20"/>
              </w:rPr>
            </w:pPr>
            <w:r w:rsidRPr="006E5CBD">
              <w:rPr>
                <w:rFonts w:eastAsia="Arial Unicode MS" w:cs="Arial"/>
                <w:b/>
                <w:bCs/>
                <w:color w:val="171717" w:themeColor="background2" w:themeShade="1A"/>
                <w:szCs w:val="20"/>
              </w:rPr>
              <w:t>Kompetents un profesionāls cilvēkkapitāls</w:t>
            </w:r>
          </w:p>
        </w:tc>
      </w:tr>
      <w:tr w:rsidR="00A336EC" w:rsidRPr="00DC4966" w:rsidTr="00BD1610">
        <w:tc>
          <w:tcPr>
            <w:tcW w:w="2263" w:type="dxa"/>
            <w:vMerge/>
            <w:shd w:val="clear" w:color="auto" w:fill="8E0000"/>
          </w:tcPr>
          <w:p w:rsidR="00A336EC" w:rsidRPr="00DC4966" w:rsidRDefault="00A336EC" w:rsidP="007C48F7">
            <w:pPr>
              <w:spacing w:before="0" w:after="0" w:line="259" w:lineRule="auto"/>
              <w:jc w:val="left"/>
              <w:rPr>
                <w:rFonts w:eastAsia="Calibri" w:cs="Arial"/>
                <w:szCs w:val="20"/>
              </w:rPr>
            </w:pPr>
          </w:p>
        </w:tc>
        <w:tc>
          <w:tcPr>
            <w:tcW w:w="236" w:type="dxa"/>
            <w:vMerge/>
            <w:tcBorders>
              <w:right w:val="single" w:sz="12" w:space="0" w:color="C00000"/>
            </w:tcBorders>
          </w:tcPr>
          <w:p w:rsidR="00A336EC" w:rsidRPr="00DC4966" w:rsidRDefault="00A336EC" w:rsidP="007C48F7">
            <w:pPr>
              <w:spacing w:before="0" w:after="0" w:line="259" w:lineRule="auto"/>
              <w:jc w:val="left"/>
              <w:rPr>
                <w:rFonts w:eastAsia="Calibri" w:cs="Arial"/>
                <w:szCs w:val="20"/>
              </w:rPr>
            </w:pPr>
          </w:p>
        </w:tc>
        <w:tc>
          <w:tcPr>
            <w:tcW w:w="3313" w:type="dxa"/>
            <w:tcBorders>
              <w:top w:val="single" w:sz="12" w:space="0" w:color="C00000"/>
              <w:left w:val="single" w:sz="12" w:space="0" w:color="C00000"/>
              <w:bottom w:val="single" w:sz="12" w:space="0" w:color="C00000"/>
              <w:right w:val="single" w:sz="12" w:space="0" w:color="C00000"/>
            </w:tcBorders>
            <w:shd w:val="clear" w:color="auto" w:fill="FBE4D5"/>
          </w:tcPr>
          <w:p w:rsidR="00A336EC" w:rsidRPr="00DC4966" w:rsidRDefault="00A336EC" w:rsidP="007C48F7">
            <w:pPr>
              <w:spacing w:line="259" w:lineRule="auto"/>
              <w:rPr>
                <w:rFonts w:eastAsia="Arial Unicode MS" w:cs="Arial"/>
                <w:color w:val="171717" w:themeColor="background2" w:themeShade="1A"/>
                <w:szCs w:val="20"/>
              </w:rPr>
            </w:pPr>
            <w:r w:rsidRPr="006E5CBD">
              <w:rPr>
                <w:rFonts w:eastAsia="Arial Unicode MS" w:cs="Arial"/>
                <w:color w:val="171717" w:themeColor="background2" w:themeShade="1A"/>
                <w:szCs w:val="20"/>
              </w:rPr>
              <w:t xml:space="preserve">Nodrošināt pasažieru un kravu mobilitātes pieprasījumam atbilstošu infrastruktūras piedāvājumu (caurvedes spēja), uzturot augstu satiksmes drošības līmeni. </w:t>
            </w:r>
          </w:p>
          <w:p w:rsidR="00A336EC" w:rsidRPr="001C2BFA" w:rsidRDefault="00A336EC" w:rsidP="007C48F7">
            <w:pPr>
              <w:spacing w:before="0" w:after="0" w:line="259" w:lineRule="auto"/>
              <w:rPr>
                <w:rFonts w:eastAsia="Calibri" w:cs="Arial"/>
                <w:szCs w:val="20"/>
                <w:lang w:val="de-DE"/>
              </w:rPr>
            </w:pPr>
            <w:r w:rsidRPr="001C2BFA">
              <w:rPr>
                <w:rFonts w:eastAsia="Calibri" w:cs="Arial"/>
                <w:szCs w:val="20"/>
                <w:lang w:val="de-DE"/>
              </w:rPr>
              <w:t>Piesaistīt jaunus un saglabāt esošos klientus.</w:t>
            </w:r>
          </w:p>
          <w:p w:rsidR="00A336EC" w:rsidRPr="001C2BFA" w:rsidRDefault="00A336EC" w:rsidP="007C48F7">
            <w:pPr>
              <w:spacing w:before="0" w:after="0" w:line="259" w:lineRule="auto"/>
              <w:jc w:val="left"/>
              <w:rPr>
                <w:rFonts w:eastAsia="Calibri" w:cs="Arial"/>
                <w:szCs w:val="20"/>
                <w:lang w:val="de-DE"/>
              </w:rPr>
            </w:pPr>
          </w:p>
        </w:tc>
        <w:tc>
          <w:tcPr>
            <w:tcW w:w="2977" w:type="dxa"/>
            <w:tcBorders>
              <w:top w:val="single" w:sz="12" w:space="0" w:color="C00000"/>
              <w:left w:val="single" w:sz="12" w:space="0" w:color="C00000"/>
              <w:bottom w:val="single" w:sz="12" w:space="0" w:color="C00000"/>
              <w:right w:val="single" w:sz="12" w:space="0" w:color="C00000"/>
            </w:tcBorders>
            <w:shd w:val="clear" w:color="auto" w:fill="FBE4D5"/>
          </w:tcPr>
          <w:p w:rsidR="00A336EC" w:rsidRPr="001C2BFA" w:rsidRDefault="00A336EC" w:rsidP="007C48F7">
            <w:pPr>
              <w:spacing w:after="60"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Nodrošināt efektīvu, kvalitatīvu un caurskatāmu organizatorisko struktūru un biznesa procesu pārvaldību.</w:t>
            </w:r>
          </w:p>
          <w:p w:rsidR="00A336EC" w:rsidRPr="001C2BFA" w:rsidRDefault="00A336EC" w:rsidP="007C48F7">
            <w:pPr>
              <w:spacing w:after="60"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 xml:space="preserve">Automatizēt satiksmes vadības procesus. </w:t>
            </w:r>
          </w:p>
          <w:p w:rsidR="00A336EC" w:rsidRPr="001C2BFA" w:rsidRDefault="00A336EC" w:rsidP="007C48F7">
            <w:pPr>
              <w:spacing w:after="60"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 xml:space="preserve">Kļūt par labākās prakses transporta nozares uzņēmumu vides pārvaldībā. </w:t>
            </w:r>
          </w:p>
          <w:p w:rsidR="00A336EC" w:rsidRPr="001C2BFA" w:rsidRDefault="00A336EC" w:rsidP="007C48F7">
            <w:pPr>
              <w:spacing w:after="60"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Ieviest efektīvas kvalitātes vadības, drošības un risku pārvaldības sistēmas.</w:t>
            </w:r>
          </w:p>
          <w:p w:rsidR="00A336EC" w:rsidRPr="001C2BFA" w:rsidRDefault="00A336EC" w:rsidP="007C48F7">
            <w:pPr>
              <w:spacing w:before="0" w:after="0" w:line="259" w:lineRule="auto"/>
              <w:jc w:val="left"/>
              <w:rPr>
                <w:rFonts w:eastAsia="Calibri" w:cs="Arial"/>
                <w:szCs w:val="20"/>
                <w:lang w:val="de-DE"/>
              </w:rPr>
            </w:pPr>
          </w:p>
        </w:tc>
        <w:tc>
          <w:tcPr>
            <w:tcW w:w="2801" w:type="dxa"/>
            <w:tcBorders>
              <w:top w:val="single" w:sz="12" w:space="0" w:color="C00000"/>
              <w:left w:val="single" w:sz="12" w:space="0" w:color="C00000"/>
              <w:bottom w:val="single" w:sz="12" w:space="0" w:color="C00000"/>
              <w:right w:val="single" w:sz="12" w:space="0" w:color="C00000"/>
            </w:tcBorders>
            <w:shd w:val="clear" w:color="auto" w:fill="FBE4D5"/>
          </w:tcPr>
          <w:p w:rsidR="00A336EC" w:rsidRPr="001C2BFA" w:rsidRDefault="00A336EC" w:rsidP="007C48F7">
            <w:pPr>
              <w:spacing w:before="0" w:after="0"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 xml:space="preserve">Nodrošināt pozitīvu naudas plūsmu un optimālu kapitāla struktūru; pietiekamu finanšu rentabilitāti. </w:t>
            </w:r>
          </w:p>
          <w:p w:rsidR="00A336EC" w:rsidRPr="001C2BFA" w:rsidRDefault="00A336EC" w:rsidP="007C48F7">
            <w:pPr>
              <w:spacing w:before="0" w:after="0"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Nodrošināt tādu investīciju politiku, kas vērsta uz izaugsmi un pakalpojumu konkurētspējas palielināšanu.</w:t>
            </w:r>
          </w:p>
          <w:p w:rsidR="00A336EC" w:rsidRPr="001C2BFA" w:rsidRDefault="00A336EC" w:rsidP="007C48F7">
            <w:pPr>
              <w:spacing w:before="0" w:after="0" w:line="259" w:lineRule="auto"/>
              <w:rPr>
                <w:rFonts w:eastAsia="Calibri" w:cs="Arial"/>
                <w:szCs w:val="20"/>
                <w:lang w:val="de-DE"/>
              </w:rPr>
            </w:pPr>
            <w:r w:rsidRPr="001C2BFA">
              <w:rPr>
                <w:rFonts w:eastAsia="Calibri" w:cs="Arial"/>
                <w:szCs w:val="20"/>
                <w:lang w:val="de-DE"/>
              </w:rPr>
              <w:t xml:space="preserve">Nodrošināt ilgtspējīgu finansiālo rezultātu sniegumu, veicinot dzelzceļa pakalpojumu un infrastruktūras pieejamības konkurētspēju. </w:t>
            </w:r>
          </w:p>
          <w:p w:rsidR="00A336EC" w:rsidRPr="001C2BFA" w:rsidRDefault="00A336EC" w:rsidP="007C48F7">
            <w:pPr>
              <w:spacing w:before="0" w:after="0" w:line="259" w:lineRule="auto"/>
              <w:jc w:val="left"/>
              <w:rPr>
                <w:rFonts w:eastAsia="Calibri" w:cs="Arial"/>
                <w:szCs w:val="20"/>
                <w:lang w:val="de-DE"/>
              </w:rPr>
            </w:pPr>
          </w:p>
        </w:tc>
        <w:tc>
          <w:tcPr>
            <w:tcW w:w="2444" w:type="dxa"/>
            <w:gridSpan w:val="2"/>
            <w:tcBorders>
              <w:top w:val="single" w:sz="12" w:space="0" w:color="C00000"/>
              <w:left w:val="single" w:sz="12" w:space="0" w:color="C00000"/>
              <w:bottom w:val="single" w:sz="12" w:space="0" w:color="C00000"/>
              <w:right w:val="single" w:sz="12" w:space="0" w:color="C00000"/>
            </w:tcBorders>
            <w:shd w:val="clear" w:color="auto" w:fill="FBE4D5"/>
          </w:tcPr>
          <w:p w:rsidR="00A336EC" w:rsidRPr="001C2BFA" w:rsidRDefault="00A336EC" w:rsidP="007C48F7">
            <w:pPr>
              <w:spacing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 xml:space="preserve">Nodrošināt LDz un Koncerna Sabiedrības ar profesionāliem un lojāliem darbiniekiem. </w:t>
            </w:r>
          </w:p>
          <w:p w:rsidR="00A336EC" w:rsidRPr="001C2BFA" w:rsidRDefault="00A336EC" w:rsidP="007C48F7">
            <w:pPr>
              <w:spacing w:line="259" w:lineRule="auto"/>
              <w:rPr>
                <w:rFonts w:eastAsia="Arial Unicode MS" w:cs="Arial"/>
                <w:color w:val="171717" w:themeColor="background2" w:themeShade="1A"/>
                <w:szCs w:val="20"/>
                <w:lang w:val="de-DE"/>
              </w:rPr>
            </w:pPr>
            <w:r w:rsidRPr="001C2BFA">
              <w:rPr>
                <w:rFonts w:eastAsia="Arial Unicode MS" w:cs="Arial"/>
                <w:color w:val="171717" w:themeColor="background2" w:themeShade="1A"/>
                <w:szCs w:val="20"/>
                <w:lang w:val="de-DE"/>
              </w:rPr>
              <w:t>Paaugstināt darbinieku efektivitāti, nodrošinot regulāru kompetenču, tostarp tehnisko kompetenču atjaunošanu un attīstību.</w:t>
            </w:r>
          </w:p>
          <w:p w:rsidR="00A336EC" w:rsidRPr="001C2BFA" w:rsidRDefault="00A336EC" w:rsidP="007C48F7">
            <w:pPr>
              <w:spacing w:before="0" w:after="0" w:line="259" w:lineRule="auto"/>
              <w:jc w:val="left"/>
              <w:rPr>
                <w:rFonts w:eastAsia="Calibri" w:cs="Arial"/>
                <w:szCs w:val="20"/>
                <w:lang w:val="de-DE"/>
              </w:rPr>
            </w:pPr>
          </w:p>
        </w:tc>
      </w:tr>
    </w:tbl>
    <w:p w:rsidR="00A336EC" w:rsidRPr="006E5CBD" w:rsidRDefault="00A336EC" w:rsidP="00A336EC">
      <w:pPr>
        <w:spacing w:before="0" w:after="0" w:line="240" w:lineRule="auto"/>
        <w:rPr>
          <w:rFonts w:eastAsia="Times New Roman" w:cs="Arial"/>
          <w:b/>
          <w:szCs w:val="20"/>
        </w:rPr>
      </w:pPr>
    </w:p>
    <w:p w:rsidR="0098236C" w:rsidRPr="00C20434" w:rsidRDefault="0098236C" w:rsidP="00940022">
      <w:pPr>
        <w:pStyle w:val="Heading1"/>
        <w:numPr>
          <w:ilvl w:val="0"/>
          <w:numId w:val="0"/>
        </w:numPr>
        <w:rPr>
          <w:rFonts w:cs="Arial"/>
        </w:rPr>
      </w:pPr>
    </w:p>
    <w:sectPr w:rsidR="0098236C" w:rsidRPr="00C20434" w:rsidSect="0094002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B5D"/>
    <w:multiLevelType w:val="hybridMultilevel"/>
    <w:tmpl w:val="3154BA08"/>
    <w:lvl w:ilvl="0" w:tplc="A25AC6F2">
      <w:start w:val="1"/>
      <w:numFmt w:val="bullet"/>
      <w:lvlText w:val="-"/>
      <w:lvlJc w:val="left"/>
      <w:pPr>
        <w:ind w:left="720" w:hanging="360"/>
      </w:pPr>
      <w:rPr>
        <w:rFonts w:ascii="Shonar Bangla" w:hAnsi="Shonar Bangl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D4362C"/>
    <w:multiLevelType w:val="hybridMultilevel"/>
    <w:tmpl w:val="DAEE886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F1A13D9"/>
    <w:multiLevelType w:val="hybridMultilevel"/>
    <w:tmpl w:val="40CC30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FE7AB2"/>
    <w:multiLevelType w:val="hybridMultilevel"/>
    <w:tmpl w:val="97A28EB0"/>
    <w:lvl w:ilvl="0" w:tplc="A25AC6F2">
      <w:start w:val="1"/>
      <w:numFmt w:val="bullet"/>
      <w:lvlText w:val="-"/>
      <w:lvlJc w:val="left"/>
      <w:pPr>
        <w:ind w:left="0" w:hanging="360"/>
      </w:pPr>
      <w:rPr>
        <w:rFonts w:ascii="Shonar Bangla" w:hAnsi="Shonar Bangla"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4">
    <w:nsid w:val="40065DBC"/>
    <w:multiLevelType w:val="hybridMultilevel"/>
    <w:tmpl w:val="61B00BA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nsid w:val="542A1F8C"/>
    <w:multiLevelType w:val="multilevel"/>
    <w:tmpl w:val="A5CC09B8"/>
    <w:lvl w:ilvl="0">
      <w:start w:val="1"/>
      <w:numFmt w:val="decimal"/>
      <w:pStyle w:val="Heading1"/>
      <w:lvlText w:val="%1."/>
      <w:lvlJc w:val="left"/>
      <w:pPr>
        <w:ind w:left="786" w:hanging="360"/>
      </w:pPr>
      <w:rPr>
        <w:rFonts w:ascii="Arial" w:eastAsiaTheme="majorEastAsia" w:hAnsi="Arial" w:cstheme="majorBidi"/>
      </w:rPr>
    </w:lvl>
    <w:lvl w:ilvl="1">
      <w:start w:val="1"/>
      <w:numFmt w:val="decimal"/>
      <w:pStyle w:val="Heading2"/>
      <w:lvlText w:val="%1.%2."/>
      <w:lvlJc w:val="left"/>
      <w:pPr>
        <w:ind w:left="432" w:hanging="432"/>
      </w:pPr>
    </w:lvl>
    <w:lvl w:ilvl="2">
      <w:start w:val="1"/>
      <w:numFmt w:val="decimal"/>
      <w:pStyle w:val="Heading3"/>
      <w:lvlText w:val="%1.%2.%3."/>
      <w:lvlJc w:val="left"/>
      <w:pPr>
        <w:ind w:left="504" w:hanging="504"/>
      </w:pPr>
      <w:rPr>
        <w:color w:val="auto"/>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794988"/>
    <w:multiLevelType w:val="hybridMultilevel"/>
    <w:tmpl w:val="EABEF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EC"/>
    <w:rsid w:val="00015C31"/>
    <w:rsid w:val="00017C0C"/>
    <w:rsid w:val="00142C0E"/>
    <w:rsid w:val="001C2BFA"/>
    <w:rsid w:val="001E4F89"/>
    <w:rsid w:val="00297FA3"/>
    <w:rsid w:val="002D5464"/>
    <w:rsid w:val="003204EA"/>
    <w:rsid w:val="00522635"/>
    <w:rsid w:val="006F2E46"/>
    <w:rsid w:val="0070434E"/>
    <w:rsid w:val="00721329"/>
    <w:rsid w:val="00940022"/>
    <w:rsid w:val="0098236C"/>
    <w:rsid w:val="009E2A5D"/>
    <w:rsid w:val="00A336EC"/>
    <w:rsid w:val="00BD1610"/>
    <w:rsid w:val="00C20434"/>
    <w:rsid w:val="00D21138"/>
    <w:rsid w:val="00EB3ABF"/>
    <w:rsid w:val="00F40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EC"/>
    <w:pPr>
      <w:spacing w:before="120" w:after="120"/>
      <w:jc w:val="both"/>
    </w:pPr>
    <w:rPr>
      <w:rFonts w:ascii="Arial" w:hAnsi="Arial"/>
      <w:sz w:val="20"/>
    </w:rPr>
  </w:style>
  <w:style w:type="paragraph" w:styleId="Heading1">
    <w:name w:val="heading 1"/>
    <w:basedOn w:val="Normal"/>
    <w:next w:val="Normal"/>
    <w:link w:val="Heading1Char"/>
    <w:uiPriority w:val="9"/>
    <w:qFormat/>
    <w:rsid w:val="00A336EC"/>
    <w:pPr>
      <w:keepNext/>
      <w:keepLines/>
      <w:numPr>
        <w:numId w:val="1"/>
      </w:numPr>
      <w:spacing w:before="240" w:after="0"/>
      <w:ind w:left="644"/>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A336EC"/>
    <w:pPr>
      <w:numPr>
        <w:ilvl w:val="1"/>
      </w:numPr>
      <w:outlineLvl w:val="1"/>
    </w:pPr>
    <w:rPr>
      <w:sz w:val="22"/>
    </w:rPr>
  </w:style>
  <w:style w:type="paragraph" w:styleId="Heading3">
    <w:name w:val="heading 3"/>
    <w:basedOn w:val="Heading2"/>
    <w:next w:val="Normal"/>
    <w:link w:val="Heading3Char"/>
    <w:uiPriority w:val="9"/>
    <w:unhideWhenUsed/>
    <w:qFormat/>
    <w:rsid w:val="00A336EC"/>
    <w:pPr>
      <w:numPr>
        <w:ilvl w:val="2"/>
      </w:numPr>
      <w:outlineLvl w:val="2"/>
    </w:pPr>
    <w:rPr>
      <w:sz w:val="20"/>
    </w:rPr>
  </w:style>
  <w:style w:type="paragraph" w:styleId="Heading4">
    <w:name w:val="heading 4"/>
    <w:basedOn w:val="Heading3"/>
    <w:next w:val="Normal"/>
    <w:link w:val="Heading4Char"/>
    <w:uiPriority w:val="9"/>
    <w:unhideWhenUsed/>
    <w:qFormat/>
    <w:rsid w:val="00A336EC"/>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6E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336EC"/>
    <w:rPr>
      <w:rFonts w:ascii="Arial" w:eastAsiaTheme="majorEastAsia" w:hAnsi="Arial" w:cstheme="majorBidi"/>
      <w:b/>
      <w:szCs w:val="32"/>
    </w:rPr>
  </w:style>
  <w:style w:type="character" w:customStyle="1" w:styleId="Heading3Char">
    <w:name w:val="Heading 3 Char"/>
    <w:basedOn w:val="DefaultParagraphFont"/>
    <w:link w:val="Heading3"/>
    <w:uiPriority w:val="9"/>
    <w:rsid w:val="00A336EC"/>
    <w:rPr>
      <w:rFonts w:ascii="Arial" w:eastAsiaTheme="majorEastAsia" w:hAnsi="Arial" w:cstheme="majorBidi"/>
      <w:b/>
      <w:sz w:val="20"/>
      <w:szCs w:val="32"/>
    </w:rPr>
  </w:style>
  <w:style w:type="character" w:customStyle="1" w:styleId="Heading4Char">
    <w:name w:val="Heading 4 Char"/>
    <w:basedOn w:val="DefaultParagraphFont"/>
    <w:link w:val="Heading4"/>
    <w:uiPriority w:val="9"/>
    <w:rsid w:val="00A336EC"/>
    <w:rPr>
      <w:rFonts w:ascii="Arial" w:eastAsiaTheme="majorEastAsia" w:hAnsi="Arial" w:cstheme="majorBidi"/>
      <w:b/>
      <w:sz w:val="20"/>
      <w:szCs w:val="32"/>
    </w:rPr>
  </w:style>
  <w:style w:type="table" w:styleId="TableGrid">
    <w:name w:val="Table Grid"/>
    <w:aliases w:val="CV table"/>
    <w:basedOn w:val="TableNormal"/>
    <w:uiPriority w:val="39"/>
    <w:rsid w:val="00A33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Numbered List,List Paragraph1,Paragraph,Bullet point 1,1st level - Bullet List Paragraph,Lettre d'introduction,Paragrafo elenco,List Paragraph11,Normal bullet 21,List Paragraph111,Bullet list1,Strip,Str"/>
    <w:basedOn w:val="Normal"/>
    <w:uiPriority w:val="34"/>
    <w:qFormat/>
    <w:rsid w:val="00BD1610"/>
    <w:pPr>
      <w:ind w:left="720"/>
      <w:contextualSpacing/>
    </w:pPr>
  </w:style>
  <w:style w:type="character" w:styleId="Hyperlink">
    <w:name w:val="Hyperlink"/>
    <w:basedOn w:val="DefaultParagraphFont"/>
    <w:uiPriority w:val="99"/>
    <w:unhideWhenUsed/>
    <w:rsid w:val="00015C31"/>
    <w:rPr>
      <w:color w:val="0563C1" w:themeColor="hyperlink"/>
      <w:u w:val="single"/>
    </w:rPr>
  </w:style>
  <w:style w:type="character" w:customStyle="1" w:styleId="UnresolvedMention">
    <w:name w:val="Unresolved Mention"/>
    <w:basedOn w:val="DefaultParagraphFont"/>
    <w:uiPriority w:val="99"/>
    <w:semiHidden/>
    <w:unhideWhenUsed/>
    <w:rsid w:val="00015C31"/>
    <w:rPr>
      <w:color w:val="808080"/>
      <w:shd w:val="clear" w:color="auto" w:fill="E6E6E6"/>
    </w:rPr>
  </w:style>
  <w:style w:type="paragraph" w:styleId="BalloonText">
    <w:name w:val="Balloon Text"/>
    <w:basedOn w:val="Normal"/>
    <w:link w:val="BalloonTextChar"/>
    <w:uiPriority w:val="99"/>
    <w:semiHidden/>
    <w:unhideWhenUsed/>
    <w:rsid w:val="001E4F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EC"/>
    <w:pPr>
      <w:spacing w:before="120" w:after="120"/>
      <w:jc w:val="both"/>
    </w:pPr>
    <w:rPr>
      <w:rFonts w:ascii="Arial" w:hAnsi="Arial"/>
      <w:sz w:val="20"/>
    </w:rPr>
  </w:style>
  <w:style w:type="paragraph" w:styleId="Heading1">
    <w:name w:val="heading 1"/>
    <w:basedOn w:val="Normal"/>
    <w:next w:val="Normal"/>
    <w:link w:val="Heading1Char"/>
    <w:uiPriority w:val="9"/>
    <w:qFormat/>
    <w:rsid w:val="00A336EC"/>
    <w:pPr>
      <w:keepNext/>
      <w:keepLines/>
      <w:numPr>
        <w:numId w:val="1"/>
      </w:numPr>
      <w:spacing w:before="240" w:after="0"/>
      <w:ind w:left="644"/>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A336EC"/>
    <w:pPr>
      <w:numPr>
        <w:ilvl w:val="1"/>
      </w:numPr>
      <w:outlineLvl w:val="1"/>
    </w:pPr>
    <w:rPr>
      <w:sz w:val="22"/>
    </w:rPr>
  </w:style>
  <w:style w:type="paragraph" w:styleId="Heading3">
    <w:name w:val="heading 3"/>
    <w:basedOn w:val="Heading2"/>
    <w:next w:val="Normal"/>
    <w:link w:val="Heading3Char"/>
    <w:uiPriority w:val="9"/>
    <w:unhideWhenUsed/>
    <w:qFormat/>
    <w:rsid w:val="00A336EC"/>
    <w:pPr>
      <w:numPr>
        <w:ilvl w:val="2"/>
      </w:numPr>
      <w:outlineLvl w:val="2"/>
    </w:pPr>
    <w:rPr>
      <w:sz w:val="20"/>
    </w:rPr>
  </w:style>
  <w:style w:type="paragraph" w:styleId="Heading4">
    <w:name w:val="heading 4"/>
    <w:basedOn w:val="Heading3"/>
    <w:next w:val="Normal"/>
    <w:link w:val="Heading4Char"/>
    <w:uiPriority w:val="9"/>
    <w:unhideWhenUsed/>
    <w:qFormat/>
    <w:rsid w:val="00A336EC"/>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6E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336EC"/>
    <w:rPr>
      <w:rFonts w:ascii="Arial" w:eastAsiaTheme="majorEastAsia" w:hAnsi="Arial" w:cstheme="majorBidi"/>
      <w:b/>
      <w:szCs w:val="32"/>
    </w:rPr>
  </w:style>
  <w:style w:type="character" w:customStyle="1" w:styleId="Heading3Char">
    <w:name w:val="Heading 3 Char"/>
    <w:basedOn w:val="DefaultParagraphFont"/>
    <w:link w:val="Heading3"/>
    <w:uiPriority w:val="9"/>
    <w:rsid w:val="00A336EC"/>
    <w:rPr>
      <w:rFonts w:ascii="Arial" w:eastAsiaTheme="majorEastAsia" w:hAnsi="Arial" w:cstheme="majorBidi"/>
      <w:b/>
      <w:sz w:val="20"/>
      <w:szCs w:val="32"/>
    </w:rPr>
  </w:style>
  <w:style w:type="character" w:customStyle="1" w:styleId="Heading4Char">
    <w:name w:val="Heading 4 Char"/>
    <w:basedOn w:val="DefaultParagraphFont"/>
    <w:link w:val="Heading4"/>
    <w:uiPriority w:val="9"/>
    <w:rsid w:val="00A336EC"/>
    <w:rPr>
      <w:rFonts w:ascii="Arial" w:eastAsiaTheme="majorEastAsia" w:hAnsi="Arial" w:cstheme="majorBidi"/>
      <w:b/>
      <w:sz w:val="20"/>
      <w:szCs w:val="32"/>
    </w:rPr>
  </w:style>
  <w:style w:type="table" w:styleId="TableGrid">
    <w:name w:val="Table Grid"/>
    <w:aliases w:val="CV table"/>
    <w:basedOn w:val="TableNormal"/>
    <w:uiPriority w:val="39"/>
    <w:rsid w:val="00A33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Numbered List,List Paragraph1,Paragraph,Bullet point 1,1st level - Bullet List Paragraph,Lettre d'introduction,Paragrafo elenco,List Paragraph11,Normal bullet 21,List Paragraph111,Bullet list1,Strip,Str"/>
    <w:basedOn w:val="Normal"/>
    <w:uiPriority w:val="34"/>
    <w:qFormat/>
    <w:rsid w:val="00BD1610"/>
    <w:pPr>
      <w:ind w:left="720"/>
      <w:contextualSpacing/>
    </w:pPr>
  </w:style>
  <w:style w:type="character" w:styleId="Hyperlink">
    <w:name w:val="Hyperlink"/>
    <w:basedOn w:val="DefaultParagraphFont"/>
    <w:uiPriority w:val="99"/>
    <w:unhideWhenUsed/>
    <w:rsid w:val="00015C31"/>
    <w:rPr>
      <w:color w:val="0563C1" w:themeColor="hyperlink"/>
      <w:u w:val="single"/>
    </w:rPr>
  </w:style>
  <w:style w:type="character" w:customStyle="1" w:styleId="UnresolvedMention">
    <w:name w:val="Unresolved Mention"/>
    <w:basedOn w:val="DefaultParagraphFont"/>
    <w:uiPriority w:val="99"/>
    <w:semiHidden/>
    <w:unhideWhenUsed/>
    <w:rsid w:val="00015C31"/>
    <w:rPr>
      <w:color w:val="808080"/>
      <w:shd w:val="clear" w:color="auto" w:fill="E6E6E6"/>
    </w:rPr>
  </w:style>
  <w:style w:type="paragraph" w:styleId="BalloonText">
    <w:name w:val="Balloon Text"/>
    <w:basedOn w:val="Normal"/>
    <w:link w:val="BalloonTextChar"/>
    <w:uiPriority w:val="99"/>
    <w:semiHidden/>
    <w:unhideWhenUsed/>
    <w:rsid w:val="001E4F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lv/lv/valsts-attistibas-planosana/nacionalais-attistibas-plans" TargetMode="External"/><Relationship Id="rId3" Type="http://schemas.openxmlformats.org/officeDocument/2006/relationships/styles" Target="styles.xml"/><Relationship Id="rId7" Type="http://schemas.openxmlformats.org/officeDocument/2006/relationships/hyperlink" Target="http://www.varam.gov.lv/lat/pol/ppd/?doc=1385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m.gov.lv/sm/content/?cat=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85B7-56BF-47FF-8EF8-ACC8D51D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4195</Characters>
  <Application>Microsoft Office Word</Application>
  <DocSecurity>0</DocSecurity>
  <Lines>59</Lines>
  <Paragraphs>12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Kubliņš</dc:creator>
  <cp:lastModifiedBy>Ella Pētermane</cp:lastModifiedBy>
  <cp:revision>3</cp:revision>
  <dcterms:created xsi:type="dcterms:W3CDTF">2019-02-11T12:53:00Z</dcterms:created>
  <dcterms:modified xsi:type="dcterms:W3CDTF">2019-02-11T12:53:00Z</dcterms:modified>
</cp:coreProperties>
</file>