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B816" w14:textId="77777777" w:rsidR="004534DD" w:rsidRPr="00DD7FB4" w:rsidRDefault="004534DD" w:rsidP="004534DD">
      <w:pPr>
        <w:spacing w:after="0" w:line="240" w:lineRule="auto"/>
        <w:jc w:val="right"/>
        <w:rPr>
          <w:rFonts w:ascii="Arial" w:eastAsia="Arial" w:hAnsi="Arial" w:cs="Arial"/>
          <w:bCs/>
          <w:kern w:val="0"/>
          <w:sz w:val="21"/>
          <w:szCs w:val="21"/>
          <w:lang w:eastAsia="lv-LV"/>
          <w14:ligatures w14:val="none"/>
        </w:rPr>
      </w:pPr>
      <w:r w:rsidRPr="00DD7FB4">
        <w:rPr>
          <w:rFonts w:ascii="Arial" w:eastAsia="Arial" w:hAnsi="Arial" w:cs="Arial"/>
          <w:bCs/>
          <w:kern w:val="0"/>
          <w:sz w:val="21"/>
          <w:szCs w:val="21"/>
          <w:lang w:eastAsia="lv-LV"/>
          <w14:ligatures w14:val="none"/>
        </w:rPr>
        <w:t>Uzaicinājuma 1.pielikums</w:t>
      </w:r>
    </w:p>
    <w:p w14:paraId="49F817FB"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p>
    <w:p w14:paraId="4DBCD8EA"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r w:rsidRPr="00DD7FB4">
        <w:rPr>
          <w:rFonts w:ascii="Arial" w:eastAsia="Arial" w:hAnsi="Arial" w:cs="Arial"/>
          <w:b/>
          <w:kern w:val="0"/>
          <w:sz w:val="21"/>
          <w:szCs w:val="21"/>
          <w:lang w:eastAsia="lv-LV"/>
          <w14:ligatures w14:val="none"/>
        </w:rPr>
        <w:t>DARĪJUMA NOSACĪJUMI</w:t>
      </w:r>
    </w:p>
    <w:p w14:paraId="60DA75F4" w14:textId="77777777" w:rsidR="004534DD" w:rsidRPr="00DD7FB4" w:rsidRDefault="004534DD" w:rsidP="004534DD">
      <w:pPr>
        <w:spacing w:after="0" w:line="240" w:lineRule="auto"/>
        <w:jc w:val="center"/>
        <w:rPr>
          <w:rFonts w:ascii="Arial" w:eastAsia="Arial" w:hAnsi="Arial" w:cs="Arial"/>
          <w:b/>
          <w:bCs/>
          <w:i/>
          <w:iCs/>
          <w:kern w:val="0"/>
          <w:sz w:val="21"/>
          <w:szCs w:val="21"/>
          <w14:ligatures w14:val="none"/>
        </w:rPr>
      </w:pPr>
    </w:p>
    <w:p w14:paraId="37EBEF87" w14:textId="77777777" w:rsidR="004534DD" w:rsidRDefault="004534DD" w:rsidP="004534DD">
      <w:pPr>
        <w:spacing w:after="0" w:line="240" w:lineRule="auto"/>
        <w:jc w:val="both"/>
        <w:rPr>
          <w:rFonts w:ascii="Arial" w:eastAsia="Arial" w:hAnsi="Arial" w:cs="Arial"/>
          <w:kern w:val="0"/>
          <w:sz w:val="21"/>
          <w:szCs w:val="21"/>
          <w14:ligatures w14:val="none"/>
        </w:rPr>
      </w:pPr>
    </w:p>
    <w:p w14:paraId="3286310B" w14:textId="77777777" w:rsidR="00BC4B20" w:rsidRPr="00DD7FB4" w:rsidRDefault="00BC4B20" w:rsidP="004534DD">
      <w:pPr>
        <w:spacing w:after="0" w:line="240" w:lineRule="auto"/>
        <w:jc w:val="both"/>
        <w:rPr>
          <w:rFonts w:ascii="Arial" w:eastAsia="Arial" w:hAnsi="Arial" w:cs="Arial"/>
          <w:kern w:val="0"/>
          <w:sz w:val="21"/>
          <w:szCs w:val="21"/>
          <w14:ligatures w14:val="none"/>
        </w:rPr>
      </w:pPr>
    </w:p>
    <w:p w14:paraId="7150D85F" w14:textId="1DB3C185"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bookmarkStart w:id="0" w:name="_Hlk117518317"/>
      <w:r w:rsidRPr="00DD7FB4">
        <w:rPr>
          <w:rFonts w:ascii="Arial" w:eastAsia="Calibri" w:hAnsi="Arial" w:cs="Arial"/>
          <w:kern w:val="0"/>
          <w:sz w:val="20"/>
          <w:szCs w:val="20"/>
          <w14:ligatures w14:val="none"/>
        </w:rPr>
        <w:t>Valsts akciju sabiedrības “Latvijas dzelzceļš” Sliežu ceļu pārvalde tirgus izpētes “</w:t>
      </w:r>
      <w:r w:rsidRPr="004534DD">
        <w:rPr>
          <w:rFonts w:ascii="Arial" w:eastAsia="Arial" w:hAnsi="Arial" w:cs="Arial"/>
          <w:kern w:val="0"/>
          <w:sz w:val="20"/>
          <w:szCs w:val="20"/>
          <w:shd w:val="clear" w:color="auto" w:fill="FFFFFF"/>
          <w14:ligatures w14:val="none"/>
        </w:rPr>
        <w:t xml:space="preserve">Ciršanas atļauja bīstamo koku, krūmāju un dabīgās saaudzes ciršanai </w:t>
      </w:r>
      <w:r w:rsidRPr="004534DD">
        <w:rPr>
          <w:rFonts w:ascii="Arial" w:eastAsia="Calibri" w:hAnsi="Arial" w:cs="Arial"/>
          <w:kern w:val="0"/>
          <w:sz w:val="20"/>
          <w:szCs w:val="20"/>
          <w14:ligatures w14:val="none"/>
        </w:rPr>
        <w:t xml:space="preserve">dzelzceļa zemes nodalījuma joslā iecirknī </w:t>
      </w:r>
      <w:r w:rsidR="00527D10">
        <w:rPr>
          <w:rStyle w:val="SubtleEmphasis"/>
          <w:rFonts w:ascii="Arial" w:hAnsi="Arial" w:cs="Arial"/>
          <w:i w:val="0"/>
          <w:iCs w:val="0"/>
          <w:color w:val="auto"/>
          <w:sz w:val="20"/>
          <w:szCs w:val="20"/>
        </w:rPr>
        <w:t xml:space="preserve">Ieriķi – Cēsis </w:t>
      </w:r>
      <w:r w:rsidR="00EF2837">
        <w:rPr>
          <w:rStyle w:val="SubtleEmphasis"/>
          <w:rFonts w:ascii="Arial" w:hAnsi="Arial" w:cs="Arial"/>
          <w:i w:val="0"/>
          <w:iCs w:val="0"/>
          <w:color w:val="auto"/>
          <w:sz w:val="20"/>
          <w:szCs w:val="20"/>
        </w:rPr>
        <w:t>81</w:t>
      </w:r>
      <w:r w:rsidR="00527D10">
        <w:rPr>
          <w:rStyle w:val="SubtleEmphasis"/>
          <w:rFonts w:ascii="Arial" w:hAnsi="Arial" w:cs="Arial"/>
          <w:i w:val="0"/>
          <w:iCs w:val="0"/>
          <w:color w:val="auto"/>
          <w:sz w:val="20"/>
          <w:szCs w:val="20"/>
        </w:rPr>
        <w:t>,</w:t>
      </w:r>
      <w:r w:rsidR="00EF2837">
        <w:rPr>
          <w:rStyle w:val="SubtleEmphasis"/>
          <w:rFonts w:ascii="Arial" w:hAnsi="Arial" w:cs="Arial"/>
          <w:i w:val="0"/>
          <w:iCs w:val="0"/>
          <w:color w:val="auto"/>
          <w:sz w:val="20"/>
          <w:szCs w:val="20"/>
        </w:rPr>
        <w:t>8</w:t>
      </w:r>
      <w:r w:rsidR="00527D10">
        <w:rPr>
          <w:rStyle w:val="SubtleEmphasis"/>
          <w:rFonts w:ascii="Arial" w:hAnsi="Arial" w:cs="Arial"/>
          <w:i w:val="0"/>
          <w:iCs w:val="0"/>
          <w:color w:val="auto"/>
          <w:sz w:val="20"/>
          <w:szCs w:val="20"/>
        </w:rPr>
        <w:t>00</w:t>
      </w:r>
      <w:r w:rsidR="008A115F">
        <w:rPr>
          <w:rStyle w:val="SubtleEmphasis"/>
          <w:rFonts w:ascii="Arial" w:hAnsi="Arial" w:cs="Arial"/>
          <w:i w:val="0"/>
          <w:iCs w:val="0"/>
          <w:color w:val="auto"/>
          <w:sz w:val="20"/>
          <w:szCs w:val="20"/>
        </w:rPr>
        <w:t>. -</w:t>
      </w:r>
      <w:r w:rsidR="00527D10">
        <w:rPr>
          <w:rStyle w:val="SubtleEmphasis"/>
          <w:rFonts w:ascii="Arial" w:hAnsi="Arial" w:cs="Arial"/>
          <w:i w:val="0"/>
          <w:iCs w:val="0"/>
          <w:color w:val="auto"/>
          <w:sz w:val="20"/>
          <w:szCs w:val="20"/>
        </w:rPr>
        <w:t xml:space="preserve">  </w:t>
      </w:r>
      <w:r w:rsidR="00EF2837">
        <w:rPr>
          <w:rStyle w:val="SubtleEmphasis"/>
          <w:rFonts w:ascii="Arial" w:hAnsi="Arial" w:cs="Arial"/>
          <w:i w:val="0"/>
          <w:iCs w:val="0"/>
          <w:color w:val="auto"/>
          <w:sz w:val="20"/>
          <w:szCs w:val="20"/>
        </w:rPr>
        <w:t>9</w:t>
      </w:r>
      <w:r w:rsidR="00527D10">
        <w:rPr>
          <w:rStyle w:val="SubtleEmphasis"/>
          <w:rFonts w:ascii="Arial" w:hAnsi="Arial" w:cs="Arial"/>
          <w:i w:val="0"/>
          <w:iCs w:val="0"/>
          <w:color w:val="auto"/>
          <w:sz w:val="20"/>
          <w:szCs w:val="20"/>
        </w:rPr>
        <w:t>1,</w:t>
      </w:r>
      <w:r w:rsidR="00EF2837">
        <w:rPr>
          <w:rStyle w:val="SubtleEmphasis"/>
          <w:rFonts w:ascii="Arial" w:hAnsi="Arial" w:cs="Arial"/>
          <w:i w:val="0"/>
          <w:iCs w:val="0"/>
          <w:color w:val="auto"/>
          <w:sz w:val="20"/>
          <w:szCs w:val="20"/>
        </w:rPr>
        <w:t>3</w:t>
      </w:r>
      <w:r w:rsidR="00527D10">
        <w:rPr>
          <w:rStyle w:val="SubtleEmphasis"/>
          <w:rFonts w:ascii="Arial" w:hAnsi="Arial" w:cs="Arial"/>
          <w:i w:val="0"/>
          <w:iCs w:val="0"/>
          <w:color w:val="auto"/>
          <w:sz w:val="20"/>
          <w:szCs w:val="20"/>
        </w:rPr>
        <w:t>00</w:t>
      </w:r>
      <w:r w:rsidRPr="004534DD">
        <w:rPr>
          <w:rStyle w:val="SubtleEmphasis"/>
          <w:rFonts w:ascii="Arial" w:hAnsi="Arial" w:cs="Arial"/>
          <w:i w:val="0"/>
          <w:iCs w:val="0"/>
          <w:color w:val="auto"/>
          <w:sz w:val="20"/>
          <w:szCs w:val="20"/>
        </w:rPr>
        <w:t>.km</w:t>
      </w:r>
      <w:r w:rsidRPr="004534DD">
        <w:rPr>
          <w:rFonts w:ascii="Arial" w:eastAsia="Calibri" w:hAnsi="Arial" w:cs="Arial"/>
          <w:sz w:val="20"/>
          <w:szCs w:val="20"/>
        </w:rPr>
        <w:t xml:space="preserve">” </w:t>
      </w:r>
      <w:r w:rsidRPr="00DD7FB4">
        <w:rPr>
          <w:rFonts w:ascii="Arial" w:eastAsia="Calibri" w:hAnsi="Arial" w:cs="Arial"/>
          <w:kern w:val="0"/>
          <w:sz w:val="20"/>
          <w:szCs w:val="20"/>
          <w14:ligatures w14:val="none"/>
        </w:rPr>
        <w:t>ietvaros piedāvā iespēju iegādāties šķeldas ražošanas izejmateriālus, lietkoksni un</w:t>
      </w:r>
      <w:r w:rsidRPr="00DD7FB4">
        <w:rPr>
          <w:rFonts w:ascii="Arial" w:eastAsia="Arial" w:hAnsi="Arial" w:cs="Arial"/>
          <w:kern w:val="0"/>
          <w:sz w:val="20"/>
          <w:szCs w:val="20"/>
          <w14:ligatures w14:val="none"/>
        </w:rPr>
        <w:t xml:space="preserve"> malkai derīgo </w:t>
      </w:r>
      <w:r w:rsidRPr="00DD7FB4">
        <w:rPr>
          <w:rFonts w:ascii="Arial" w:eastAsia="Calibri" w:hAnsi="Arial" w:cs="Arial"/>
          <w:kern w:val="0"/>
          <w:sz w:val="20"/>
          <w:szCs w:val="20"/>
          <w14:ligatures w14:val="none"/>
        </w:rPr>
        <w:t xml:space="preserve"> koksni, veicot k</w:t>
      </w:r>
      <w:r w:rsidRPr="00DD7FB4">
        <w:rPr>
          <w:rFonts w:ascii="Arial" w:eastAsia="Arial" w:hAnsi="Arial" w:cs="Arial"/>
          <w:kern w:val="0"/>
          <w:sz w:val="20"/>
          <w:szCs w:val="20"/>
          <w:shd w:val="clear" w:color="auto" w:fill="FFFFFF"/>
          <w14:ligatures w14:val="none"/>
        </w:rPr>
        <w:t xml:space="preserve">rūmāju, bīstamo koku un dabīgās saaudzes ciršanu </w:t>
      </w:r>
      <w:r w:rsidRPr="00DD7FB4">
        <w:rPr>
          <w:rFonts w:ascii="Arial" w:eastAsia="Calibri" w:hAnsi="Arial" w:cs="Arial"/>
          <w:kern w:val="0"/>
          <w:sz w:val="20"/>
          <w:szCs w:val="20"/>
          <w14:ligatures w14:val="none"/>
        </w:rPr>
        <w:t xml:space="preserve">objektā </w:t>
      </w:r>
      <w:r w:rsidR="00527D10">
        <w:rPr>
          <w:rStyle w:val="SubtleEmphasis"/>
          <w:rFonts w:ascii="Arial" w:hAnsi="Arial" w:cs="Arial"/>
          <w:i w:val="0"/>
          <w:iCs w:val="0"/>
          <w:color w:val="auto"/>
          <w:sz w:val="20"/>
          <w:szCs w:val="20"/>
        </w:rPr>
        <w:t xml:space="preserve">Ieriķi – Cēsis </w:t>
      </w:r>
      <w:r w:rsidR="00EF2837">
        <w:rPr>
          <w:rStyle w:val="SubtleEmphasis"/>
          <w:rFonts w:ascii="Arial" w:hAnsi="Arial" w:cs="Arial"/>
          <w:i w:val="0"/>
          <w:iCs w:val="0"/>
          <w:color w:val="auto"/>
          <w:sz w:val="20"/>
          <w:szCs w:val="20"/>
        </w:rPr>
        <w:t>81</w:t>
      </w:r>
      <w:r w:rsidR="00527D10">
        <w:rPr>
          <w:rStyle w:val="SubtleEmphasis"/>
          <w:rFonts w:ascii="Arial" w:hAnsi="Arial" w:cs="Arial"/>
          <w:i w:val="0"/>
          <w:iCs w:val="0"/>
          <w:color w:val="auto"/>
          <w:sz w:val="20"/>
          <w:szCs w:val="20"/>
        </w:rPr>
        <w:t>,</w:t>
      </w:r>
      <w:r w:rsidR="00EF2837">
        <w:rPr>
          <w:rStyle w:val="SubtleEmphasis"/>
          <w:rFonts w:ascii="Arial" w:hAnsi="Arial" w:cs="Arial"/>
          <w:i w:val="0"/>
          <w:iCs w:val="0"/>
          <w:color w:val="auto"/>
          <w:sz w:val="20"/>
          <w:szCs w:val="20"/>
        </w:rPr>
        <w:t>8</w:t>
      </w:r>
      <w:r w:rsidR="00527D10">
        <w:rPr>
          <w:rStyle w:val="SubtleEmphasis"/>
          <w:rFonts w:ascii="Arial" w:hAnsi="Arial" w:cs="Arial"/>
          <w:i w:val="0"/>
          <w:iCs w:val="0"/>
          <w:color w:val="auto"/>
          <w:sz w:val="20"/>
          <w:szCs w:val="20"/>
        </w:rPr>
        <w:t>00</w:t>
      </w:r>
      <w:r w:rsidR="008A115F">
        <w:rPr>
          <w:rStyle w:val="SubtleEmphasis"/>
          <w:rFonts w:ascii="Arial" w:hAnsi="Arial" w:cs="Arial"/>
          <w:i w:val="0"/>
          <w:iCs w:val="0"/>
          <w:color w:val="auto"/>
          <w:sz w:val="20"/>
          <w:szCs w:val="20"/>
        </w:rPr>
        <w:t xml:space="preserve">. - </w:t>
      </w:r>
      <w:r w:rsidR="00527D10">
        <w:rPr>
          <w:rStyle w:val="SubtleEmphasis"/>
          <w:rFonts w:ascii="Arial" w:hAnsi="Arial" w:cs="Arial"/>
          <w:i w:val="0"/>
          <w:iCs w:val="0"/>
          <w:color w:val="auto"/>
          <w:sz w:val="20"/>
          <w:szCs w:val="20"/>
        </w:rPr>
        <w:t xml:space="preserve"> </w:t>
      </w:r>
      <w:r w:rsidR="00EF2837">
        <w:rPr>
          <w:rStyle w:val="SubtleEmphasis"/>
          <w:rFonts w:ascii="Arial" w:hAnsi="Arial" w:cs="Arial"/>
          <w:i w:val="0"/>
          <w:iCs w:val="0"/>
          <w:color w:val="auto"/>
          <w:sz w:val="20"/>
          <w:szCs w:val="20"/>
        </w:rPr>
        <w:t>9</w:t>
      </w:r>
      <w:r w:rsidR="00527D10">
        <w:rPr>
          <w:rStyle w:val="SubtleEmphasis"/>
          <w:rFonts w:ascii="Arial" w:hAnsi="Arial" w:cs="Arial"/>
          <w:i w:val="0"/>
          <w:iCs w:val="0"/>
          <w:color w:val="auto"/>
          <w:sz w:val="20"/>
          <w:szCs w:val="20"/>
        </w:rPr>
        <w:t>1,</w:t>
      </w:r>
      <w:r w:rsidR="00EF2837">
        <w:rPr>
          <w:rStyle w:val="SubtleEmphasis"/>
          <w:rFonts w:ascii="Arial" w:hAnsi="Arial" w:cs="Arial"/>
          <w:i w:val="0"/>
          <w:iCs w:val="0"/>
          <w:color w:val="auto"/>
          <w:sz w:val="20"/>
          <w:szCs w:val="20"/>
        </w:rPr>
        <w:t>3</w:t>
      </w:r>
      <w:r w:rsidR="00527D10">
        <w:rPr>
          <w:rStyle w:val="SubtleEmphasis"/>
          <w:rFonts w:ascii="Arial" w:hAnsi="Arial" w:cs="Arial"/>
          <w:i w:val="0"/>
          <w:iCs w:val="0"/>
          <w:color w:val="auto"/>
          <w:sz w:val="20"/>
          <w:szCs w:val="20"/>
        </w:rPr>
        <w:t>00 km</w:t>
      </w:r>
      <w:r w:rsidR="00647F7C" w:rsidRPr="004534DD">
        <w:rPr>
          <w:rFonts w:ascii="Aptos" w:eastAsia="Aptos" w:hAnsi="Aptos" w:cs="Times New Roman"/>
          <w:sz w:val="22"/>
          <w:szCs w:val="22"/>
        </w:rPr>
        <w:t xml:space="preserve"> </w:t>
      </w:r>
      <w:r w:rsidRPr="004534DD">
        <w:rPr>
          <w:rFonts w:ascii="Aptos" w:eastAsia="Aptos" w:hAnsi="Aptos" w:cs="Times New Roman"/>
          <w:sz w:val="22"/>
          <w:szCs w:val="22"/>
        </w:rPr>
        <w:t xml:space="preserve">( </w:t>
      </w:r>
      <w:r w:rsidRPr="00DD7FB4">
        <w:rPr>
          <w:rFonts w:ascii="Arial" w:eastAsia="Calibri" w:hAnsi="Arial" w:cs="Arial"/>
          <w:kern w:val="0"/>
          <w:sz w:val="20"/>
          <w:szCs w:val="20"/>
          <w14:ligatures w14:val="none"/>
        </w:rPr>
        <w:t xml:space="preserve">objekta shēma uzaicinājuma 3.pielikumā uz </w:t>
      </w:r>
      <w:r>
        <w:rPr>
          <w:rFonts w:ascii="Arial" w:eastAsia="Calibri" w:hAnsi="Arial" w:cs="Arial"/>
          <w:kern w:val="0"/>
          <w:sz w:val="20"/>
          <w:szCs w:val="20"/>
          <w14:ligatures w14:val="none"/>
        </w:rPr>
        <w:t>1</w:t>
      </w:r>
      <w:r w:rsidRPr="00DD7FB4">
        <w:rPr>
          <w:rFonts w:ascii="Arial" w:eastAsia="Calibri" w:hAnsi="Arial" w:cs="Arial"/>
          <w:kern w:val="0"/>
          <w:sz w:val="20"/>
          <w:szCs w:val="20"/>
          <w14:ligatures w14:val="none"/>
        </w:rPr>
        <w:t xml:space="preserve"> lp).</w:t>
      </w:r>
    </w:p>
    <w:p w14:paraId="4589958B" w14:textId="77777777"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Ciršanas atļaujas cena ir  197,38 EUR (viens simts deviņdesmit septiņi eiro, 38 centi).</w:t>
      </w:r>
    </w:p>
    <w:p w14:paraId="4A3AD807" w14:textId="77777777" w:rsidR="004534DD"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Ieinteresētības gadījumā, lūdzam iesniegt savu komercpiedāvājumu, ņemot vērā šādus nosacījumus:</w:t>
      </w:r>
    </w:p>
    <w:p w14:paraId="1A63A44B" w14:textId="6E3ABCB6" w:rsidR="00EE6C09" w:rsidRDefault="00647F7C" w:rsidP="009B1CC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B1CC2">
        <w:rPr>
          <w:rFonts w:ascii="Arial" w:eastAsia="Calibri" w:hAnsi="Arial" w:cs="Arial"/>
          <w:kern w:val="0"/>
          <w:sz w:val="20"/>
          <w:szCs w:val="20"/>
          <w14:ligatures w14:val="none"/>
        </w:rPr>
        <w:t>1.</w:t>
      </w:r>
      <w:r w:rsidR="00C8353C">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 apņemas veikt koku, krūmu un dabīgās saaudzes ciršanu dzelzceļa zemes nodalījuma joslā, ievērojot spēkā esošos normatīvos aktus un VAS “Latvijas dzelzceļš” prasības. Ciršanas darbi tiek veikti sliežu ceļa abās pusēs, sākot no 2,5 metru</w:t>
      </w:r>
      <w:r w:rsidR="00EE6C09" w:rsidRPr="00EE6C09">
        <w:rPr>
          <w:rFonts w:ascii="Arial" w:eastAsia="Calibri" w:hAnsi="Arial" w:cs="Arial"/>
          <w:b/>
          <w:bCs/>
          <w:kern w:val="0"/>
          <w:sz w:val="20"/>
          <w:szCs w:val="20"/>
          <w14:ligatures w14:val="none"/>
        </w:rPr>
        <w:t xml:space="preserve"> </w:t>
      </w:r>
      <w:r w:rsidR="00EE6C09" w:rsidRPr="00EE6C09">
        <w:rPr>
          <w:rFonts w:ascii="Arial" w:eastAsia="Calibri" w:hAnsi="Arial" w:cs="Arial"/>
          <w:kern w:val="0"/>
          <w:sz w:val="20"/>
          <w:szCs w:val="20"/>
          <w14:ligatures w14:val="none"/>
        </w:rPr>
        <w:t>attāluma no tuvākās sliedes ārējās šķautnes līdz nodalījuma joslas robežai, vai līdz trīsdesmitajam metram, ja nodalījuma josla ir platāka par 32,5 metriem. Ja Ciršana tiek veikta nodalījuma joslā tālāk par 32,5 metriem, Komercsabiedrībai ir pienākums Ciršanas darbus iepriekš rakstiski saskaņot ar LDZ.</w:t>
      </w:r>
    </w:p>
    <w:p w14:paraId="521AE698" w14:textId="77777777" w:rsidR="00451A7A" w:rsidRPr="00EE6C09" w:rsidRDefault="00451A7A" w:rsidP="009B1CC2">
      <w:pPr>
        <w:spacing w:after="0" w:line="240" w:lineRule="auto"/>
        <w:jc w:val="both"/>
        <w:rPr>
          <w:rFonts w:ascii="Arial" w:eastAsia="Calibri" w:hAnsi="Arial" w:cs="Arial"/>
          <w:kern w:val="0"/>
          <w:sz w:val="20"/>
          <w:szCs w:val="20"/>
          <w14:ligatures w14:val="none"/>
        </w:rPr>
      </w:pPr>
    </w:p>
    <w:p w14:paraId="276B209E" w14:textId="7B9E9597" w:rsidR="00EE6C09" w:rsidRPr="00EE6C09" w:rsidRDefault="00C8353C" w:rsidP="00B232F3">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B232F3">
        <w:rPr>
          <w:rFonts w:ascii="Arial" w:eastAsia="Calibri" w:hAnsi="Arial" w:cs="Arial"/>
          <w:kern w:val="0"/>
          <w:sz w:val="20"/>
          <w:szCs w:val="20"/>
          <w14:ligatures w14:val="none"/>
        </w:rPr>
        <w:t>2.</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Pilsētas un ciema teritorijā aizliegts cirst koku, kuru celma caurmērs ir lielāks par 20 cm, vai  ārpus pilsētu un ciemu teritorijās augošo koku, kuru apkārtmērs 1,3 metru augstumā no sakņu kakla ir vienāds vai lielāks par Ministru kabineta 02.05.2012. Noteikumu Nr.309 “Noteikumi par koku ciršanu ārpus meža” 4.11. punktā norādītām, izņemot kokus ar tiesību aktos noteiktām bīstamības pazīmēm.</w:t>
      </w:r>
    </w:p>
    <w:p w14:paraId="53CF218B" w14:textId="4A81C66B" w:rsidR="00EE6C09" w:rsidRPr="00EE6C09" w:rsidRDefault="00C8353C"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701B7D">
        <w:rPr>
          <w:rFonts w:ascii="Arial" w:eastAsia="Calibri" w:hAnsi="Arial" w:cs="Arial"/>
          <w:kern w:val="0"/>
          <w:sz w:val="20"/>
          <w:szCs w:val="20"/>
          <w14:ligatures w14:val="none"/>
        </w:rPr>
        <w:t>3.</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Pirms 2. punktā norādīto koku ciršanas ir jāveic fotofiksācija, kurā  būtu fiksētas Aizsargjoslu likuma 61.panta piektajā daļā un Ministru kabineta 02.05.2012. Noteikumu Nr.309 “Noteikumi par koku ciršanu ārpus meža” 6.punktā noteiktas bīstamības pazīmes.</w:t>
      </w:r>
    </w:p>
    <w:p w14:paraId="4C46AAA9" w14:textId="27B4973D" w:rsidR="00EE6C09" w:rsidRPr="000B345F" w:rsidRDefault="00C8353C" w:rsidP="000B345F">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4.</w:t>
      </w:r>
      <w:r w:rsidR="00CF7584" w:rsidRPr="000B345F">
        <w:rPr>
          <w:rFonts w:ascii="Arial" w:eastAsia="Calibri" w:hAnsi="Arial" w:cs="Arial"/>
          <w:kern w:val="0"/>
          <w:sz w:val="20"/>
          <w:szCs w:val="20"/>
          <w14:ligatures w14:val="none"/>
        </w:rPr>
        <w:t xml:space="preserve"> </w:t>
      </w:r>
      <w:r w:rsidR="00EE6C09" w:rsidRPr="000B345F">
        <w:rPr>
          <w:rFonts w:ascii="Arial" w:eastAsia="Calibri" w:hAnsi="Arial" w:cs="Arial"/>
          <w:kern w:val="0"/>
          <w:sz w:val="20"/>
          <w:szCs w:val="20"/>
          <w14:ligatures w14:val="none"/>
        </w:rPr>
        <w:t>Kokam jābūt nozāģētam ne augstāk par 20 cm virs zemes.</w:t>
      </w:r>
    </w:p>
    <w:p w14:paraId="4E0DF514" w14:textId="21F4E1A9" w:rsidR="00EE6C09" w:rsidRPr="00EE6C09" w:rsidRDefault="00573E0B"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5</w:t>
      </w:r>
      <w:r w:rsidR="00675FF8">
        <w:rPr>
          <w:rFonts w:ascii="Arial" w:eastAsia="Calibri" w:hAnsi="Arial" w:cs="Arial"/>
          <w:kern w:val="0"/>
          <w:sz w:val="20"/>
          <w:szCs w:val="20"/>
          <w14:ligatures w14:val="none"/>
        </w:rPr>
        <w:t>.</w:t>
      </w:r>
      <w:r w:rsidR="00105F3F">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Apaļo kokmateriālu garums noteicams, ņemot vēra koku sugu, kvalitāti un jāatbilst koksnes sortimentiem ar iespējami augstāko cenu.</w:t>
      </w:r>
    </w:p>
    <w:p w14:paraId="087FD863" w14:textId="6134D09F" w:rsidR="00EE6C09" w:rsidRPr="00EE6C09" w:rsidRDefault="000A4EB1" w:rsidP="00675FF8">
      <w:pPr>
        <w:spacing w:after="0" w:line="240" w:lineRule="auto"/>
        <w:jc w:val="both"/>
        <w:rPr>
          <w:rFonts w:ascii="Arial" w:eastAsia="Calibri" w:hAnsi="Arial" w:cs="Arial"/>
          <w:kern w:val="0"/>
          <w:sz w:val="20"/>
          <w:szCs w:val="20"/>
          <w14:ligatures w14:val="none"/>
        </w:rPr>
      </w:pPr>
      <w:bookmarkStart w:id="1" w:name="_Hlk124256176"/>
      <w:r>
        <w:rPr>
          <w:rFonts w:ascii="Arial" w:eastAsia="Calibri" w:hAnsi="Arial" w:cs="Arial"/>
          <w:kern w:val="0"/>
          <w:sz w:val="20"/>
          <w:szCs w:val="20"/>
          <w14:ligatures w14:val="none"/>
        </w:rPr>
        <w:t xml:space="preserve">      </w:t>
      </w:r>
      <w:r w:rsidR="00152301">
        <w:rPr>
          <w:rFonts w:ascii="Arial" w:eastAsia="Calibri" w:hAnsi="Arial" w:cs="Arial"/>
          <w:kern w:val="0"/>
          <w:sz w:val="20"/>
          <w:szCs w:val="20"/>
          <w14:ligatures w14:val="none"/>
        </w:rPr>
        <w:t xml:space="preserve">6. </w:t>
      </w:r>
      <w:r w:rsidR="00EE6C09" w:rsidRPr="00EE6C09">
        <w:rPr>
          <w:rFonts w:ascii="Arial" w:eastAsia="Calibri" w:hAnsi="Arial" w:cs="Arial"/>
          <w:kern w:val="0"/>
          <w:sz w:val="20"/>
          <w:szCs w:val="20"/>
          <w14:ligatures w14:val="none"/>
        </w:rPr>
        <w:t>Pirms Ciršanas uzsākšanas, veikt darbu saskaņošanu ar LDZ atbildīgo personu, ievērojot Objektu prioritāti, tajā skaitā Ciršanas robežas precizēšanu un nocirsto krautuvju izveidošanas vietu noteikšanu.</w:t>
      </w:r>
    </w:p>
    <w:bookmarkEnd w:id="1"/>
    <w:p w14:paraId="2B9CF275" w14:textId="51A0B1A3" w:rsidR="00EE6C09" w:rsidRPr="00EE6C09" w:rsidRDefault="000A4EB1" w:rsidP="00CF7584">
      <w:pPr>
        <w:spacing w:after="0" w:line="240" w:lineRule="auto"/>
        <w:jc w:val="both"/>
        <w:rPr>
          <w:rFonts w:ascii="Arial" w:eastAsia="Calibri" w:hAnsi="Arial" w:cs="Arial"/>
          <w:kern w:val="0"/>
          <w:sz w:val="20"/>
          <w:szCs w:val="20"/>
          <w14:ligatures w14:val="none"/>
        </w:rPr>
      </w:pPr>
      <w:r>
        <w:rPr>
          <w:rFonts w:ascii="Arial" w:eastAsia="Calibri" w:hAnsi="Arial" w:cs="Arial"/>
          <w:iCs/>
          <w:kern w:val="0"/>
          <w:sz w:val="20"/>
          <w:szCs w:val="20"/>
          <w14:ligatures w14:val="none"/>
        </w:rPr>
        <w:t xml:space="preserve">      </w:t>
      </w:r>
      <w:r w:rsidR="00152301">
        <w:rPr>
          <w:rFonts w:ascii="Arial" w:eastAsia="Calibri" w:hAnsi="Arial" w:cs="Arial"/>
          <w:iCs/>
          <w:kern w:val="0"/>
          <w:sz w:val="20"/>
          <w:szCs w:val="20"/>
          <w14:ligatures w14:val="none"/>
        </w:rPr>
        <w:t>7.</w:t>
      </w:r>
      <w:r w:rsidR="00CF7584">
        <w:rPr>
          <w:rFonts w:ascii="Arial" w:eastAsia="Calibri" w:hAnsi="Arial" w:cs="Arial"/>
          <w:iCs/>
          <w:kern w:val="0"/>
          <w:sz w:val="20"/>
          <w:szCs w:val="20"/>
          <w14:ligatures w14:val="none"/>
        </w:rPr>
        <w:t xml:space="preserve"> </w:t>
      </w:r>
      <w:r w:rsidR="00EE6C09" w:rsidRPr="00EE6C09">
        <w:rPr>
          <w:rFonts w:ascii="Arial" w:eastAsia="Calibri" w:hAnsi="Arial" w:cs="Arial"/>
          <w:iCs/>
          <w:kern w:val="0"/>
          <w:sz w:val="20"/>
          <w:szCs w:val="20"/>
          <w14:ligatures w14:val="none"/>
        </w:rPr>
        <w:t>Plānojot Darbus dzelzceļa zemes nodalījuma joslā</w:t>
      </w:r>
      <w:r w:rsidR="00EE6C09" w:rsidRPr="00EE6C09">
        <w:rPr>
          <w:rFonts w:ascii="Arial" w:eastAsia="Calibri" w:hAnsi="Arial" w:cs="Arial"/>
          <w:kern w:val="0"/>
          <w:sz w:val="20"/>
          <w:szCs w:val="20"/>
          <w14:ligatures w14:val="none"/>
        </w:rPr>
        <w:t xml:space="preserve"> </w:t>
      </w:r>
      <w:r w:rsidR="00EE6C09" w:rsidRPr="00EE6C09">
        <w:rPr>
          <w:rFonts w:ascii="Arial" w:eastAsia="Calibri" w:hAnsi="Arial" w:cs="Arial"/>
          <w:iCs/>
          <w:kern w:val="0"/>
          <w:sz w:val="20"/>
          <w:szCs w:val="20"/>
          <w14:ligatures w14:val="none"/>
        </w:rPr>
        <w:t xml:space="preserve">un </w:t>
      </w:r>
      <w:r w:rsidR="00EE6C09" w:rsidRPr="00EE6C09">
        <w:rPr>
          <w:rFonts w:ascii="Arial" w:eastAsia="Calibri" w:hAnsi="Arial" w:cs="Arial"/>
          <w:kern w:val="0"/>
          <w:sz w:val="20"/>
          <w:szCs w:val="20"/>
          <w14:ligatures w14:val="none"/>
        </w:rPr>
        <w:t xml:space="preserve">pirms Darbu uzsākšanas Objektā, Komercsabiedrība apņemas nosūtīt pieteikumu par darbu veikšanu un saņemt atļauju darbam gaisa elektrolīniju zonā (Pieteikums darbiem dzelzceļa zemes nodalījuma joslā) uz e-pasta adresi: </w:t>
      </w:r>
      <w:hyperlink r:id="rId6" w:history="1">
        <w:r w:rsidR="00EE6C09" w:rsidRPr="00EE6C09">
          <w:rPr>
            <w:rStyle w:val="Hyperlink"/>
            <w:rFonts w:ascii="Arial" w:eastAsia="Calibri" w:hAnsi="Arial" w:cs="Arial"/>
            <w:kern w:val="0"/>
            <w:sz w:val="20"/>
            <w:szCs w:val="20"/>
            <w14:ligatures w14:val="none"/>
          </w:rPr>
          <w:t>atlaujadarbiem@ldz.lv</w:t>
        </w:r>
      </w:hyperlink>
      <w:r w:rsidR="00EE6C09" w:rsidRPr="00EE6C09">
        <w:rPr>
          <w:rFonts w:ascii="Arial" w:eastAsia="Calibri" w:hAnsi="Arial" w:cs="Arial"/>
          <w:kern w:val="0"/>
          <w:sz w:val="20"/>
          <w:szCs w:val="20"/>
          <w:u w:val="single"/>
          <w14:ligatures w14:val="none"/>
        </w:rPr>
        <w:t>,</w:t>
      </w:r>
      <w:r w:rsidR="00EE6C09" w:rsidRPr="00EE6C09">
        <w:rPr>
          <w:rFonts w:ascii="Arial" w:eastAsia="Calibri" w:hAnsi="Arial" w:cs="Arial"/>
          <w:kern w:val="0"/>
          <w:sz w:val="20"/>
          <w:szCs w:val="20"/>
          <w14:ligatures w14:val="none"/>
        </w:rPr>
        <w:t xml:space="preserve"> un nepieciešamo </w:t>
      </w:r>
      <w:r w:rsidR="00EE6C09" w:rsidRPr="00EE6C09">
        <w:rPr>
          <w:rFonts w:ascii="Arial" w:eastAsia="Calibri" w:hAnsi="Arial" w:cs="Arial"/>
          <w:iCs/>
          <w:kern w:val="0"/>
          <w:sz w:val="20"/>
          <w:szCs w:val="20"/>
          <w14:ligatures w14:val="none"/>
        </w:rPr>
        <w:t>Pakalpojumu</w:t>
      </w:r>
      <w:r w:rsidR="00EE6C09" w:rsidRPr="00EE6C09">
        <w:rPr>
          <w:rFonts w:ascii="Arial" w:eastAsia="Calibri" w:hAnsi="Arial" w:cs="Arial"/>
          <w:kern w:val="0"/>
          <w:sz w:val="20"/>
          <w:szCs w:val="20"/>
          <w14:ligatures w14:val="none"/>
        </w:rPr>
        <w:t xml:space="preserve"> veidu saskaņošanai ar </w:t>
      </w:r>
      <w:r w:rsidR="00EE6C09" w:rsidRPr="00EE6C09">
        <w:rPr>
          <w:rFonts w:ascii="Arial" w:eastAsia="Calibri" w:hAnsi="Arial" w:cs="Arial"/>
          <w:i/>
          <w:kern w:val="0"/>
          <w:sz w:val="20"/>
          <w:szCs w:val="20"/>
          <w14:ligatures w14:val="none"/>
        </w:rPr>
        <w:t>Infrastruktūras pārvaldītāju,</w:t>
      </w:r>
      <w:r w:rsidR="00EE6C09" w:rsidRPr="00EE6C09">
        <w:rPr>
          <w:rFonts w:ascii="Arial" w:eastAsia="Calibri" w:hAnsi="Arial" w:cs="Arial"/>
          <w:kern w:val="0"/>
          <w:sz w:val="20"/>
          <w:szCs w:val="20"/>
          <w14:ligatures w14:val="none"/>
        </w:rPr>
        <w:t xml:space="preserve"> ievērojot termiņus, kas noteikti “Atļaujas piešķiršanas noteikumi darbu veikšanai dzelzceļa zemes nodalījuma joslā” noteikumos. </w:t>
      </w:r>
      <w:bookmarkStart w:id="2" w:name="_Hlk215568656"/>
      <w:r w:rsidR="00EE6C09" w:rsidRPr="00EE6C09">
        <w:rPr>
          <w:rFonts w:ascii="Arial" w:eastAsia="Calibri" w:hAnsi="Arial" w:cs="Arial"/>
          <w:kern w:val="0"/>
          <w:sz w:val="20"/>
          <w:szCs w:val="20"/>
          <w14:ligatures w14:val="none"/>
        </w:rPr>
        <w:t xml:space="preserve">Noteikumi pieejami LDz tīmekļa vietnē </w:t>
      </w:r>
      <w:hyperlink r:id="rId7" w:history="1">
        <w:r w:rsidR="00EE6C09" w:rsidRPr="00EE6C09">
          <w:rPr>
            <w:rStyle w:val="Hyperlink"/>
            <w:rFonts w:ascii="Arial" w:eastAsia="Calibri" w:hAnsi="Arial" w:cs="Arial"/>
            <w:kern w:val="0"/>
            <w:sz w:val="20"/>
            <w:szCs w:val="20"/>
            <w14:ligatures w14:val="none"/>
          </w:rPr>
          <w:t>www.ldz.lv</w:t>
        </w:r>
      </w:hyperlink>
      <w:r w:rsidR="00EE6C09" w:rsidRPr="00EE6C09">
        <w:rPr>
          <w:rFonts w:ascii="Arial" w:eastAsia="Calibri" w:hAnsi="Arial" w:cs="Arial"/>
          <w:kern w:val="0"/>
          <w:sz w:val="20"/>
          <w:szCs w:val="20"/>
          <w14:ligatures w14:val="none"/>
        </w:rPr>
        <w:t xml:space="preserve"> sadaļā BIZNESAM → Atļauja darbu veikšanai dzelzceļa zemes nodalījuma joslā (t.sk. ar loga piešķiršanu), </w:t>
      </w:r>
      <w:hyperlink r:id="rId8" w:history="1">
        <w:r w:rsidR="00EE6C09" w:rsidRPr="00EE6C09">
          <w:rPr>
            <w:rStyle w:val="Hyperlink"/>
            <w:rFonts w:ascii="Arial" w:eastAsia="Calibri" w:hAnsi="Arial" w:cs="Arial"/>
            <w:kern w:val="0"/>
            <w:sz w:val="20"/>
            <w:szCs w:val="20"/>
            <w14:ligatures w14:val="none"/>
          </w:rPr>
          <w:t>https://www.ldz.lv/lv/atlaujas-pieskirsanas-noteikumi-darbu-veiksanai-dzelzcela-zemes-nodalijuma-josla</w:t>
        </w:r>
      </w:hyperlink>
      <w:bookmarkEnd w:id="2"/>
      <w:r w:rsidR="00EE6C09" w:rsidRPr="00EE6C09">
        <w:rPr>
          <w:rFonts w:ascii="Arial" w:eastAsia="Calibri" w:hAnsi="Arial" w:cs="Arial"/>
          <w:kern w:val="0"/>
          <w:sz w:val="20"/>
          <w:szCs w:val="20"/>
          <w14:ligatures w14:val="none"/>
        </w:rPr>
        <w:t xml:space="preserve"> .</w:t>
      </w:r>
    </w:p>
    <w:p w14:paraId="3F0E3797" w14:textId="3E14301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8.</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Pēc Ciršanas pabeigšanas savest kārtībā Objekta teritoriju, veikt zemes nolīdzināšanu, gadījumā, ja pēc traktortehnikas izmantošanas rises zemē ir dziļākas par 20 cm.</w:t>
      </w:r>
    </w:p>
    <w:p w14:paraId="1F776177" w14:textId="2786D46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9.</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Veicot ciršanu, nocirstās šķeldas ražošanas izejmateriālu un koksnes savākšanu, izvešanu, salikšanu kaudzēs, nodrošināt dzelzceļa infrastruktūras objektu saglabātību un vilcienu kustības drošību, kaudzes izvietot ne tuvāk kā 6 m (seši metri) no tuvākas sliedes, nodrošinot, ka kaudzes sabrukšanas gadījumā nocirstais materiāls neatrastos tuvāk par 3 m no tuvākās sliedes.</w:t>
      </w:r>
    </w:p>
    <w:p w14:paraId="41E2E241" w14:textId="7A903827" w:rsidR="00EE6C09" w:rsidRPr="00EE6C09" w:rsidRDefault="000A4EB1"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10.</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Ciršanu, nocirstās šķeldas ražošanas izejmateriālu un koksnes savākšanu un izvešanu, teritorijas sakopšanu veikt par saviem līdzekļiem.</w:t>
      </w:r>
    </w:p>
    <w:p w14:paraId="380EB127" w14:textId="3950DBD6"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11.</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Komercsabiedrība apņemas neuzsākt nocirstās šķeldas ražošanas izejmateriālu pārstrādi un izvešanu, kā arī koksnes izvešanu no Objekta, pirms  </w:t>
      </w:r>
      <w:r w:rsidR="00986FCF">
        <w:rPr>
          <w:rFonts w:ascii="Arial" w:eastAsia="Calibri" w:hAnsi="Arial" w:cs="Arial"/>
          <w:kern w:val="0"/>
          <w:sz w:val="20"/>
          <w:szCs w:val="20"/>
          <w14:ligatures w14:val="none"/>
        </w:rPr>
        <w:t>pieņemšanas-nodošanas akta parakstīšanas</w:t>
      </w:r>
    </w:p>
    <w:p w14:paraId="26AF0155" w14:textId="3AEAAF00"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12.</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Par Ciršanas pabeigšanu Komercsabiedrība informē LDZ 3 (trīs) darba dienas iepriekš, nosūtot informācijas vēstuli uz e-pastu: </w:t>
      </w:r>
      <w:hyperlink r:id="rId9" w:history="1">
        <w:r w:rsidR="00EE6C09" w:rsidRPr="00EE6C09">
          <w:rPr>
            <w:rStyle w:val="Hyperlink"/>
            <w:rFonts w:ascii="Arial" w:eastAsia="Calibri" w:hAnsi="Arial" w:cs="Arial"/>
            <w:kern w:val="0"/>
            <w:sz w:val="20"/>
            <w:szCs w:val="20"/>
            <w14:ligatures w14:val="none"/>
          </w:rPr>
          <w:t>scp@ldz.lv</w:t>
        </w:r>
      </w:hyperlink>
      <w:r w:rsidR="00EE6C09" w:rsidRPr="00EE6C09">
        <w:rPr>
          <w:rFonts w:ascii="Arial" w:eastAsia="Calibri" w:hAnsi="Arial" w:cs="Arial"/>
          <w:kern w:val="0"/>
          <w:sz w:val="20"/>
          <w:szCs w:val="20"/>
          <w14:ligatures w14:val="none"/>
        </w:rPr>
        <w:t xml:space="preserve"> .</w:t>
      </w:r>
    </w:p>
    <w:p w14:paraId="22D2DD64" w14:textId="5848596E" w:rsidR="00EE6C09" w:rsidRPr="00EE6C09" w:rsidRDefault="00974A3A"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13.</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Ciršanu, koksnes, šķeldas ražošanas izejmateriālu sagatavošanu izvešanai un teritorijas sakopšanu </w:t>
      </w:r>
      <w:bookmarkStart w:id="3" w:name="_Hlk124333625"/>
      <w:r w:rsidR="00EE6C09" w:rsidRPr="00EE6C09">
        <w:rPr>
          <w:rFonts w:ascii="Arial" w:eastAsia="Calibri" w:hAnsi="Arial" w:cs="Arial"/>
          <w:kern w:val="0"/>
          <w:sz w:val="20"/>
          <w:szCs w:val="20"/>
          <w14:ligatures w14:val="none"/>
        </w:rPr>
        <w:t>Komercsabiedrība</w:t>
      </w:r>
      <w:bookmarkEnd w:id="3"/>
      <w:r w:rsidR="00EE6C09" w:rsidRPr="00EE6C09">
        <w:rPr>
          <w:rFonts w:ascii="Arial" w:eastAsia="Calibri" w:hAnsi="Arial" w:cs="Arial"/>
          <w:kern w:val="0"/>
          <w:sz w:val="20"/>
          <w:szCs w:val="20"/>
          <w14:ligatures w14:val="none"/>
        </w:rPr>
        <w:t xml:space="preserve"> veic ievērojot 28.11.2023. Ministru kabineta noteikumus Nr.680 “Dzelzceļa ekspluatācijas noteikumi”, 01.02.2005. Ministru kabineta noteikumus Nr.79 „Dzelzceļa zemes nodalījuma joslas ekspluatācijas noteikumi” un citus normatīvos aktus, kas regulē  darbu veikšanu dzelzceļa zemes nodalījumā joslā.</w:t>
      </w:r>
    </w:p>
    <w:p w14:paraId="0E84120F" w14:textId="179F2F49" w:rsidR="00EE6C09" w:rsidRPr="00EE6C09" w:rsidRDefault="00AC45BB"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14.</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Komercsabiedrībai ir pienākums paziņot LDZ atbildīgajai personai  par koksnes un šķeldas ražošanas izejmateriālu izvešanas pabeigšanu.</w:t>
      </w:r>
    </w:p>
    <w:p w14:paraId="7BB57CEC" w14:textId="4EA11596" w:rsidR="00EE6C09" w:rsidRP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 xml:space="preserve">      </w:t>
      </w:r>
      <w:r w:rsidR="00E60409">
        <w:rPr>
          <w:rFonts w:ascii="Arial" w:eastAsia="Calibri" w:hAnsi="Arial" w:cs="Arial"/>
          <w:kern w:val="0"/>
          <w:sz w:val="20"/>
          <w:szCs w:val="20"/>
          <w14:ligatures w14:val="none"/>
        </w:rPr>
        <w:t>15.</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Ciršanas, nocirstās koksnes un šķeldas ražošanas izejmateriālu savākšanas, pārvietošanas un izvešanas laikā Komercsabiedrība ir atbildīga par nodarītajiem zaudējumiem LDZ un trešajām personām.</w:t>
      </w:r>
    </w:p>
    <w:p w14:paraId="7C8661C4" w14:textId="46418009" w:rsid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sidRPr="00E60409">
        <w:rPr>
          <w:rFonts w:ascii="Arial" w:eastAsia="Calibri" w:hAnsi="Arial" w:cs="Arial"/>
          <w:kern w:val="0"/>
          <w:sz w:val="20"/>
          <w:szCs w:val="20"/>
          <w14:ligatures w14:val="none"/>
        </w:rPr>
        <w:t>16.</w:t>
      </w:r>
      <w:r w:rsidR="00BA75BE">
        <w:rPr>
          <w:rFonts w:ascii="Arial" w:eastAsia="Calibri" w:hAnsi="Arial" w:cs="Arial"/>
          <w:kern w:val="0"/>
          <w:sz w:val="20"/>
          <w:szCs w:val="20"/>
          <w14:ligatures w14:val="none"/>
        </w:rPr>
        <w:t xml:space="preserve"> </w:t>
      </w:r>
      <w:r w:rsidR="00EE6C09" w:rsidRPr="00E60409">
        <w:rPr>
          <w:rFonts w:ascii="Arial" w:eastAsia="Calibri" w:hAnsi="Arial" w:cs="Arial"/>
          <w:kern w:val="0"/>
          <w:sz w:val="20"/>
          <w:szCs w:val="20"/>
          <w14:ligatures w14:val="none"/>
        </w:rPr>
        <w:t>Ciršanas, nocirsto savākšanas, iepirktās koksnes, šķeldas ražošanas izejmateriālu izvešanas darbu izpildes termiņš Objektā ir 12 (divpadsmit) nedēļas</w:t>
      </w:r>
      <w:r w:rsidR="00EB5764" w:rsidRPr="00EB5764">
        <w:rPr>
          <w:rFonts w:ascii="Arial" w:eastAsia="Times New Roman" w:hAnsi="Arial" w:cs="Arial"/>
          <w:snapToGrid w:val="0"/>
          <w:kern w:val="0"/>
          <w:sz w:val="21"/>
          <w:szCs w:val="21"/>
          <w14:ligatures w14:val="none"/>
        </w:rPr>
        <w:t xml:space="preserve"> </w:t>
      </w:r>
      <w:r w:rsidR="00EB5764" w:rsidRPr="00EB5764">
        <w:rPr>
          <w:rFonts w:ascii="Arial" w:eastAsia="Calibri" w:hAnsi="Arial" w:cs="Arial"/>
          <w:kern w:val="0"/>
          <w:sz w:val="20"/>
          <w:szCs w:val="20"/>
          <w14:ligatures w14:val="none"/>
        </w:rPr>
        <w:t>pēc rēķina par Ciršanas atļauju apmaksas veikšanas, bet atsevišķos gadījumos, abpusēji saskaņotais darbu izpildes termiņš, kas nevar būt ilgāk par 6 (sešiem) mēnešiem no Līguma noslēgšanas dienas</w:t>
      </w:r>
      <w:r w:rsidR="00B144AE">
        <w:rPr>
          <w:rFonts w:ascii="Arial" w:eastAsia="Calibri" w:hAnsi="Arial" w:cs="Arial"/>
          <w:kern w:val="0"/>
          <w:sz w:val="20"/>
          <w:szCs w:val="20"/>
          <w14:ligatures w14:val="none"/>
        </w:rPr>
        <w:t>.</w:t>
      </w:r>
      <w:r w:rsidR="00EE6C09" w:rsidRPr="00E60409">
        <w:rPr>
          <w:rFonts w:ascii="Arial" w:eastAsia="Calibri" w:hAnsi="Arial" w:cs="Arial"/>
          <w:kern w:val="0"/>
          <w:sz w:val="20"/>
          <w:szCs w:val="20"/>
          <w14:ligatures w14:val="none"/>
        </w:rPr>
        <w:t xml:space="preserve"> </w:t>
      </w:r>
    </w:p>
    <w:p w14:paraId="75169EF3" w14:textId="5ECBB360" w:rsidR="00E33636" w:rsidRPr="00E33636" w:rsidRDefault="00E33636" w:rsidP="00E33636">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17.</w:t>
      </w:r>
      <w:r w:rsidR="00DE1407" w:rsidRPr="00DE1407">
        <w:rPr>
          <w:rFonts w:ascii="Arial" w:eastAsia="Times New Roman" w:hAnsi="Arial" w:cs="Arial"/>
          <w:snapToGrid w:val="0"/>
          <w:kern w:val="0"/>
          <w:sz w:val="21"/>
          <w:szCs w:val="21"/>
          <w14:ligatures w14:val="none"/>
        </w:rPr>
        <w:t xml:space="preserve"> </w:t>
      </w:r>
      <w:r w:rsidR="00DE1407" w:rsidRPr="00DE1407">
        <w:rPr>
          <w:rFonts w:ascii="Arial" w:eastAsia="Calibri" w:hAnsi="Arial" w:cs="Arial"/>
          <w:kern w:val="0"/>
          <w:sz w:val="20"/>
          <w:szCs w:val="20"/>
          <w14:ligatures w14:val="none"/>
        </w:rPr>
        <w:t>Pēc Ciršanas pabeigšanas Objektā, Puses sastāda un paraksta Koku un krūmu saaudzes ciršanas pieņemšanas – nodošanas aktu, kurā tiek norādīts koksnes un šķeldas ražošanas izejmateriālu apjoms kā arī ziņas par Objekta teritorijas stāvokli, t.sk. fiksējot konstatētos trūkumus un nepilnības</w:t>
      </w:r>
      <w:r w:rsidR="00AE149A">
        <w:rPr>
          <w:rFonts w:ascii="Arial" w:eastAsia="Calibri" w:hAnsi="Arial" w:cs="Arial"/>
          <w:kern w:val="0"/>
          <w:sz w:val="20"/>
          <w:szCs w:val="20"/>
          <w14:ligatures w14:val="none"/>
        </w:rPr>
        <w:t xml:space="preserve">. </w:t>
      </w:r>
      <w:r w:rsidR="00AE149A" w:rsidRPr="00AE149A">
        <w:rPr>
          <w:rFonts w:ascii="Arial" w:eastAsia="Calibri" w:hAnsi="Arial" w:cs="Arial"/>
          <w:kern w:val="0"/>
          <w:sz w:val="20"/>
          <w:szCs w:val="20"/>
          <w14:ligatures w14:val="none"/>
        </w:rPr>
        <w:t>Nocirstā materiāla pārstrādi un izvešanu veikt tikai pēc pieņemšanas-nodošanas akta parakstīšanas</w:t>
      </w:r>
    </w:p>
    <w:p w14:paraId="1DAE940C" w14:textId="4B226939" w:rsidR="00EE6C09" w:rsidRPr="00EE6C09" w:rsidRDefault="003178C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Pr>
          <w:rFonts w:ascii="Arial" w:eastAsia="Calibri" w:hAnsi="Arial" w:cs="Arial"/>
          <w:kern w:val="0"/>
          <w:sz w:val="20"/>
          <w:szCs w:val="20"/>
          <w14:ligatures w14:val="none"/>
        </w:rPr>
        <w:t>18</w:t>
      </w:r>
      <w:r w:rsidR="009512CA">
        <w:rPr>
          <w:rFonts w:ascii="Arial" w:eastAsia="Calibri" w:hAnsi="Arial" w:cs="Arial"/>
          <w:kern w:val="0"/>
          <w:sz w:val="20"/>
          <w:szCs w:val="20"/>
          <w14:ligatures w14:val="none"/>
        </w:rPr>
        <w:t>.</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Koksnes cena ti</w:t>
      </w:r>
      <w:r w:rsidR="0026359D">
        <w:rPr>
          <w:rFonts w:ascii="Arial" w:eastAsia="Calibri" w:hAnsi="Arial" w:cs="Arial"/>
          <w:kern w:val="0"/>
          <w:sz w:val="20"/>
          <w:szCs w:val="20"/>
          <w14:ligatures w14:val="none"/>
        </w:rPr>
        <w:t>ek</w:t>
      </w:r>
      <w:r w:rsidR="00EE6C09" w:rsidRPr="00EE6C09">
        <w:rPr>
          <w:rFonts w:ascii="Arial" w:eastAsia="Calibri" w:hAnsi="Arial" w:cs="Arial"/>
          <w:kern w:val="0"/>
          <w:sz w:val="20"/>
          <w:szCs w:val="20"/>
          <w14:ligatures w14:val="none"/>
        </w:rPr>
        <w:t xml:space="preserve"> noteikta sertificēta speciālista vērtēšanas aktā. Ja nocirsto koku apjoma dēļ netiek veikta vērtēšana, cena noteicama tirgus izpētes aktā, ņemot vērā tirgū piedāvāto iepirkšanas cenu un koksnes izstrādes, savākšanas un izvešanas izdevumus</w:t>
      </w:r>
      <w:r w:rsidR="00BB7987">
        <w:rPr>
          <w:rFonts w:ascii="Arial" w:eastAsia="Calibri" w:hAnsi="Arial" w:cs="Arial"/>
          <w:kern w:val="0"/>
          <w:sz w:val="20"/>
          <w:szCs w:val="20"/>
          <w14:ligatures w14:val="none"/>
        </w:rPr>
        <w:t>.</w:t>
      </w:r>
    </w:p>
    <w:p w14:paraId="4D725AD6" w14:textId="39AE17D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512CA">
        <w:rPr>
          <w:rFonts w:ascii="Arial" w:eastAsia="Calibri" w:hAnsi="Arial" w:cs="Arial"/>
          <w:kern w:val="0"/>
          <w:sz w:val="20"/>
          <w:szCs w:val="20"/>
          <w14:ligatures w14:val="none"/>
        </w:rPr>
        <w:t>19.</w:t>
      </w:r>
      <w:r>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Šķeldas ražošanas izejmateriālu un koksnes  pieņemšana – nodošana:</w:t>
      </w:r>
    </w:p>
    <w:p w14:paraId="3713B2B6" w14:textId="2C75999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w:t>
      </w:r>
      <w:r w:rsidR="009512CA">
        <w:rPr>
          <w:rFonts w:ascii="Arial" w:eastAsia="Calibri" w:hAnsi="Arial" w:cs="Arial"/>
          <w:kern w:val="0"/>
          <w:sz w:val="20"/>
          <w:szCs w:val="20"/>
          <w14:ligatures w14:val="none"/>
        </w:rPr>
        <w:t>.</w:t>
      </w:r>
      <w:r w:rsidR="00076468">
        <w:rPr>
          <w:rFonts w:ascii="Arial" w:eastAsia="Calibri" w:hAnsi="Arial" w:cs="Arial"/>
          <w:kern w:val="0"/>
          <w:sz w:val="20"/>
          <w:szCs w:val="20"/>
          <w14:ligatures w14:val="none"/>
        </w:rPr>
        <w:t>1.</w:t>
      </w:r>
      <w:r w:rsidR="00EE6C09" w:rsidRPr="00EE6C09">
        <w:rPr>
          <w:rFonts w:ascii="Arial" w:eastAsia="Calibri" w:hAnsi="Arial" w:cs="Arial"/>
          <w:kern w:val="0"/>
          <w:sz w:val="20"/>
          <w:szCs w:val="20"/>
          <w14:ligatures w14:val="none"/>
        </w:rPr>
        <w:t>Šķeldas ražošanas izejmateriālu apjoms tiek noteikts kubikmetros, veicot sakrauto izejmateriālu kaudzes augstuma, platuma un garuma mērījumus un iegūtajam tilpumam piemērojot pārrēķina koeficientu 0,33.</w:t>
      </w:r>
    </w:p>
    <w:p w14:paraId="09BBCA56" w14:textId="4BB7BE60" w:rsid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19.2.</w:t>
      </w:r>
      <w:r w:rsidR="00EE6C09" w:rsidRPr="00EE6C09">
        <w:rPr>
          <w:rFonts w:ascii="Arial" w:eastAsia="Calibri" w:hAnsi="Arial" w:cs="Arial"/>
          <w:kern w:val="0"/>
          <w:sz w:val="20"/>
          <w:szCs w:val="20"/>
          <w14:ligatures w14:val="none"/>
        </w:rPr>
        <w:t>Koksnes apjoms tiek noteikts kubikmetros, veicot kaudzes augstuma, platuma un garuma mērījumus un iegūtajam tilpumam piemērojot attiecīgos pārrēķina koeficientus:</w:t>
      </w:r>
    </w:p>
    <w:tbl>
      <w:tblPr>
        <w:tblStyle w:val="TableGrid"/>
        <w:tblW w:w="9067" w:type="dxa"/>
        <w:tblLook w:val="04A0" w:firstRow="1" w:lastRow="0" w:firstColumn="1" w:lastColumn="0" w:noHBand="0" w:noVBand="1"/>
      </w:tblPr>
      <w:tblGrid>
        <w:gridCol w:w="2547"/>
        <w:gridCol w:w="1037"/>
        <w:gridCol w:w="1940"/>
        <w:gridCol w:w="1646"/>
        <w:gridCol w:w="1897"/>
      </w:tblGrid>
      <w:tr w:rsidR="004B7BFB" w:rsidRPr="00DD7FB4" w14:paraId="34B38EFD" w14:textId="77777777" w:rsidTr="00BE3AFE">
        <w:tc>
          <w:tcPr>
            <w:tcW w:w="2547" w:type="dxa"/>
          </w:tcPr>
          <w:p w14:paraId="22F30897"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Sortiments</w:t>
            </w:r>
          </w:p>
        </w:tc>
        <w:tc>
          <w:tcPr>
            <w:tcW w:w="1037" w:type="dxa"/>
          </w:tcPr>
          <w:p w14:paraId="609D4A1E"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Koki</w:t>
            </w:r>
          </w:p>
        </w:tc>
        <w:tc>
          <w:tcPr>
            <w:tcW w:w="1940" w:type="dxa"/>
          </w:tcPr>
          <w:p w14:paraId="0D3142C2"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Garums (m)</w:t>
            </w:r>
          </w:p>
        </w:tc>
        <w:tc>
          <w:tcPr>
            <w:tcW w:w="1646" w:type="dxa"/>
          </w:tcPr>
          <w:p w14:paraId="35DAC87F"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sz w:val="20"/>
                <w:szCs w:val="20"/>
              </w:rPr>
              <w:t>Ø</w:t>
            </w:r>
          </w:p>
        </w:tc>
        <w:tc>
          <w:tcPr>
            <w:tcW w:w="1897" w:type="dxa"/>
          </w:tcPr>
          <w:p w14:paraId="254A7692" w14:textId="77777777" w:rsidR="004B7BFB" w:rsidRPr="00DD7FB4" w:rsidRDefault="004B7BFB" w:rsidP="008A0E51">
            <w:pPr>
              <w:jc w:val="center"/>
              <w:rPr>
                <w:rFonts w:ascii="Arial" w:eastAsia="Calibri" w:hAnsi="Arial" w:cs="Arial"/>
                <w:kern w:val="0"/>
                <w:sz w:val="20"/>
                <w:szCs w:val="20"/>
                <w:lang w:val="en-US"/>
                <w14:ligatures w14:val="none"/>
              </w:rPr>
            </w:pPr>
            <w:r w:rsidRPr="00DD7FB4">
              <w:rPr>
                <w:rFonts w:ascii="Arial" w:eastAsia="Calibri" w:hAnsi="Arial" w:cs="Arial"/>
                <w:kern w:val="0"/>
                <w:sz w:val="20"/>
                <w:szCs w:val="20"/>
                <w14:ligatures w14:val="none"/>
              </w:rPr>
              <w:t>Koeficients</w:t>
            </w:r>
          </w:p>
        </w:tc>
      </w:tr>
      <w:tr w:rsidR="004B7BFB" w:rsidRPr="00DD7FB4" w14:paraId="7FC5B1D4" w14:textId="77777777" w:rsidTr="00BE3AFE">
        <w:tc>
          <w:tcPr>
            <w:tcW w:w="2547" w:type="dxa"/>
          </w:tcPr>
          <w:p w14:paraId="6781527B"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674618F7"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P</w:t>
            </w:r>
          </w:p>
        </w:tc>
        <w:tc>
          <w:tcPr>
            <w:tcW w:w="1940" w:type="dxa"/>
          </w:tcPr>
          <w:p w14:paraId="0738A53C" w14:textId="636CC739" w:rsidR="004B7BFB" w:rsidRPr="00DD7FB4" w:rsidRDefault="00D5273A"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232798AF"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11939A8" w14:textId="54AAC17C"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0D52D01C" w14:textId="77777777" w:rsidTr="00BE3AFE">
        <w:tc>
          <w:tcPr>
            <w:tcW w:w="2547" w:type="dxa"/>
          </w:tcPr>
          <w:p w14:paraId="5E43FD03"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714E449D"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E</w:t>
            </w:r>
          </w:p>
        </w:tc>
        <w:tc>
          <w:tcPr>
            <w:tcW w:w="1940" w:type="dxa"/>
          </w:tcPr>
          <w:p w14:paraId="62AB23C8" w14:textId="4788BAA3" w:rsidR="004B7BFB" w:rsidRPr="00DD7FB4" w:rsidRDefault="00BE3AFE"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5A88AD76"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87360BB" w14:textId="4EEFB6C0"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6E424440" w14:textId="77777777" w:rsidTr="00BE3AFE">
        <w:tc>
          <w:tcPr>
            <w:tcW w:w="2547" w:type="dxa"/>
          </w:tcPr>
          <w:p w14:paraId="3D06846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Finieris nešķirots</w:t>
            </w:r>
          </w:p>
        </w:tc>
        <w:tc>
          <w:tcPr>
            <w:tcW w:w="1037" w:type="dxa"/>
          </w:tcPr>
          <w:p w14:paraId="3E12798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Bērzs</w:t>
            </w:r>
          </w:p>
        </w:tc>
        <w:tc>
          <w:tcPr>
            <w:tcW w:w="1940" w:type="dxa"/>
            <w:vAlign w:val="center"/>
          </w:tcPr>
          <w:p w14:paraId="65CBF6AB" w14:textId="02C7D6D1"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w:t>
            </w:r>
            <w:r w:rsidR="00A23D21">
              <w:rPr>
                <w:rFonts w:ascii="Arial" w:eastAsia="Times New Roman" w:hAnsi="Arial" w:cs="Arial"/>
                <w:sz w:val="20"/>
                <w:szCs w:val="20"/>
                <w:lang w:eastAsia="lv-LV"/>
              </w:rPr>
              <w:t>8</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3,10</w:t>
            </w:r>
          </w:p>
        </w:tc>
        <w:tc>
          <w:tcPr>
            <w:tcW w:w="1646" w:type="dxa"/>
            <w:vAlign w:val="center"/>
          </w:tcPr>
          <w:p w14:paraId="5CC2EFC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18-70</w:t>
            </w:r>
          </w:p>
        </w:tc>
        <w:tc>
          <w:tcPr>
            <w:tcW w:w="1897" w:type="dxa"/>
          </w:tcPr>
          <w:p w14:paraId="3D75E0E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0.61</w:t>
            </w:r>
          </w:p>
        </w:tc>
      </w:tr>
      <w:tr w:rsidR="004B7BFB" w:rsidRPr="00DD7FB4" w14:paraId="5D45AFC7" w14:textId="77777777" w:rsidTr="00BE3AFE">
        <w:tc>
          <w:tcPr>
            <w:tcW w:w="2547" w:type="dxa"/>
          </w:tcPr>
          <w:p w14:paraId="7F4143E2"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Skuju koku tara</w:t>
            </w:r>
          </w:p>
        </w:tc>
        <w:tc>
          <w:tcPr>
            <w:tcW w:w="1037" w:type="dxa"/>
          </w:tcPr>
          <w:p w14:paraId="05D6200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w:t>
            </w:r>
          </w:p>
        </w:tc>
        <w:tc>
          <w:tcPr>
            <w:tcW w:w="1940" w:type="dxa"/>
          </w:tcPr>
          <w:p w14:paraId="029767D1" w14:textId="5F23B58A"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- 3,10</w:t>
            </w:r>
          </w:p>
        </w:tc>
        <w:tc>
          <w:tcPr>
            <w:tcW w:w="1646" w:type="dxa"/>
          </w:tcPr>
          <w:p w14:paraId="0576640B"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14</w:t>
            </w:r>
          </w:p>
        </w:tc>
        <w:tc>
          <w:tcPr>
            <w:tcW w:w="1897" w:type="dxa"/>
          </w:tcPr>
          <w:p w14:paraId="29E8A66F"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0.56</w:t>
            </w:r>
          </w:p>
        </w:tc>
      </w:tr>
      <w:tr w:rsidR="004B7BFB" w:rsidRPr="00DD7FB4" w14:paraId="1C300BC0" w14:textId="77777777" w:rsidTr="00BE3AFE">
        <w:tc>
          <w:tcPr>
            <w:tcW w:w="2547" w:type="dxa"/>
          </w:tcPr>
          <w:p w14:paraId="5575507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Resnā TARA</w:t>
            </w:r>
          </w:p>
        </w:tc>
        <w:tc>
          <w:tcPr>
            <w:tcW w:w="1037" w:type="dxa"/>
          </w:tcPr>
          <w:p w14:paraId="109D3F2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Lk. Sk.</w:t>
            </w:r>
          </w:p>
        </w:tc>
        <w:tc>
          <w:tcPr>
            <w:tcW w:w="1940" w:type="dxa"/>
          </w:tcPr>
          <w:p w14:paraId="7B8B6A31" w14:textId="77F8552F"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2E75C32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24</w:t>
            </w:r>
          </w:p>
        </w:tc>
        <w:tc>
          <w:tcPr>
            <w:tcW w:w="1897" w:type="dxa"/>
          </w:tcPr>
          <w:p w14:paraId="76CC71A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0.58</w:t>
            </w:r>
          </w:p>
        </w:tc>
      </w:tr>
      <w:tr w:rsidR="004B7BFB" w:rsidRPr="00DD7FB4" w14:paraId="148FEFC0" w14:textId="77777777" w:rsidTr="00BE3AFE">
        <w:tc>
          <w:tcPr>
            <w:tcW w:w="2547" w:type="dxa"/>
          </w:tcPr>
          <w:p w14:paraId="7A3F8BB4"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Tievā TARA</w:t>
            </w:r>
          </w:p>
        </w:tc>
        <w:tc>
          <w:tcPr>
            <w:tcW w:w="1037" w:type="dxa"/>
          </w:tcPr>
          <w:p w14:paraId="72DF791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Lk. Sk.</w:t>
            </w:r>
          </w:p>
        </w:tc>
        <w:tc>
          <w:tcPr>
            <w:tcW w:w="1940" w:type="dxa"/>
          </w:tcPr>
          <w:p w14:paraId="02365024" w14:textId="0CE8D50D"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78AD1944"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14</w:t>
            </w:r>
          </w:p>
        </w:tc>
        <w:tc>
          <w:tcPr>
            <w:tcW w:w="1897" w:type="dxa"/>
          </w:tcPr>
          <w:p w14:paraId="23AF3BA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0.56</w:t>
            </w:r>
          </w:p>
        </w:tc>
      </w:tr>
      <w:tr w:rsidR="004B7BFB" w:rsidRPr="00DD7FB4" w14:paraId="66C376BF" w14:textId="77777777" w:rsidTr="00BE3AFE">
        <w:tc>
          <w:tcPr>
            <w:tcW w:w="2547" w:type="dxa"/>
          </w:tcPr>
          <w:p w14:paraId="70ED652D"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5E4F53A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Apse</w:t>
            </w:r>
          </w:p>
        </w:tc>
        <w:tc>
          <w:tcPr>
            <w:tcW w:w="1940" w:type="dxa"/>
          </w:tcPr>
          <w:p w14:paraId="2449F615"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4723C2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6D796FD0"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0.52</w:t>
            </w:r>
          </w:p>
        </w:tc>
      </w:tr>
      <w:tr w:rsidR="004B7BFB" w:rsidRPr="00DD7FB4" w14:paraId="2CA9F945" w14:textId="77777777" w:rsidTr="00BE3AFE">
        <w:tc>
          <w:tcPr>
            <w:tcW w:w="2547" w:type="dxa"/>
          </w:tcPr>
          <w:p w14:paraId="73AF64B6"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AB7867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Bērzs</w:t>
            </w:r>
          </w:p>
        </w:tc>
        <w:tc>
          <w:tcPr>
            <w:tcW w:w="1940" w:type="dxa"/>
          </w:tcPr>
          <w:p w14:paraId="5DAE4FE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033B63FA"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18771D41"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0.50</w:t>
            </w:r>
          </w:p>
        </w:tc>
      </w:tr>
      <w:tr w:rsidR="004B7BFB" w:rsidRPr="00DD7FB4" w14:paraId="6E501F11" w14:textId="77777777" w:rsidTr="00BE3AFE">
        <w:tc>
          <w:tcPr>
            <w:tcW w:w="2547" w:type="dxa"/>
          </w:tcPr>
          <w:p w14:paraId="0FCC8E7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3581CF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w:t>
            </w:r>
          </w:p>
        </w:tc>
        <w:tc>
          <w:tcPr>
            <w:tcW w:w="1940" w:type="dxa"/>
          </w:tcPr>
          <w:p w14:paraId="4FFFA04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1CB3A9AB"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3380C69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6E69D993" w14:textId="77777777" w:rsidTr="00BE3AFE">
        <w:tc>
          <w:tcPr>
            <w:tcW w:w="2547" w:type="dxa"/>
          </w:tcPr>
          <w:p w14:paraId="12C4CB8F"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2C1F482"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Alksnis</w:t>
            </w:r>
          </w:p>
        </w:tc>
        <w:tc>
          <w:tcPr>
            <w:tcW w:w="1940" w:type="dxa"/>
          </w:tcPr>
          <w:p w14:paraId="05CDE49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6C8162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0506BC1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0.51</w:t>
            </w:r>
          </w:p>
        </w:tc>
      </w:tr>
      <w:tr w:rsidR="004B7BFB" w:rsidRPr="00DD7FB4" w14:paraId="6C36FB34" w14:textId="77777777" w:rsidTr="00BE3AFE">
        <w:tc>
          <w:tcPr>
            <w:tcW w:w="2547" w:type="dxa"/>
          </w:tcPr>
          <w:p w14:paraId="6DCCD0D7"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Malka</w:t>
            </w:r>
          </w:p>
        </w:tc>
        <w:tc>
          <w:tcPr>
            <w:tcW w:w="1037" w:type="dxa"/>
          </w:tcPr>
          <w:p w14:paraId="6574AC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Lk. Sk.</w:t>
            </w:r>
          </w:p>
        </w:tc>
        <w:tc>
          <w:tcPr>
            <w:tcW w:w="1940" w:type="dxa"/>
          </w:tcPr>
          <w:p w14:paraId="4808008E"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760A267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7E71BB9A"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32EEC0DC" w14:textId="77777777" w:rsidTr="00BE3AFE">
        <w:tc>
          <w:tcPr>
            <w:tcW w:w="2547" w:type="dxa"/>
          </w:tcPr>
          <w:p w14:paraId="144FE84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Gulsnis</w:t>
            </w:r>
          </w:p>
        </w:tc>
        <w:tc>
          <w:tcPr>
            <w:tcW w:w="1037" w:type="dxa"/>
          </w:tcPr>
          <w:p w14:paraId="588E1B3E" w14:textId="4FF439D6"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 kok</w:t>
            </w:r>
            <w:r w:rsidR="00B64ABB">
              <w:rPr>
                <w:rFonts w:ascii="Arial" w:eastAsia="Times New Roman" w:hAnsi="Arial" w:cs="Arial"/>
                <w:sz w:val="20"/>
                <w:szCs w:val="20"/>
                <w:lang w:eastAsia="lv-LV"/>
              </w:rPr>
              <w:t>u</w:t>
            </w:r>
          </w:p>
        </w:tc>
        <w:tc>
          <w:tcPr>
            <w:tcW w:w="1940" w:type="dxa"/>
          </w:tcPr>
          <w:p w14:paraId="5EB80F9C" w14:textId="11DE2163" w:rsidR="004B7BFB" w:rsidRPr="00DD7FB4" w:rsidRDefault="00490C3E" w:rsidP="008A0E51">
            <w:pPr>
              <w:rPr>
                <w:rFonts w:ascii="Arial" w:eastAsia="Times New Roman" w:hAnsi="Arial" w:cs="Arial"/>
                <w:color w:val="5E5E5E"/>
                <w:kern w:val="0"/>
                <w:sz w:val="20"/>
                <w:szCs w:val="20"/>
                <w:lang w:eastAsia="lv-LV"/>
                <w14:ligatures w14:val="none"/>
              </w:rPr>
            </w:pPr>
            <w:r>
              <w:rPr>
                <w:rFonts w:ascii="Arial" w:eastAsia="Times New Roman" w:hAnsi="Arial" w:cs="Arial"/>
                <w:color w:val="5E5E5E"/>
                <w:kern w:val="0"/>
                <w:sz w:val="20"/>
                <w:szCs w:val="20"/>
                <w:lang w:eastAsia="lv-LV"/>
                <w14:ligatures w14:val="none"/>
              </w:rPr>
              <w:t>2,8</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3,0</w:t>
            </w:r>
          </w:p>
        </w:tc>
        <w:tc>
          <w:tcPr>
            <w:tcW w:w="1646" w:type="dxa"/>
          </w:tcPr>
          <w:p w14:paraId="563BB7B3"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18</w:t>
            </w:r>
          </w:p>
        </w:tc>
        <w:tc>
          <w:tcPr>
            <w:tcW w:w="1897" w:type="dxa"/>
          </w:tcPr>
          <w:p w14:paraId="4C033AA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0.61</w:t>
            </w:r>
          </w:p>
        </w:tc>
      </w:tr>
    </w:tbl>
    <w:tbl>
      <w:tblPr>
        <w:tblW w:w="0" w:type="auto"/>
        <w:tblInd w:w="704" w:type="dxa"/>
        <w:tblLook w:val="04A0" w:firstRow="1" w:lastRow="0" w:firstColumn="1" w:lastColumn="0" w:noHBand="0" w:noVBand="1"/>
      </w:tblPr>
      <w:tblGrid>
        <w:gridCol w:w="2552"/>
        <w:gridCol w:w="1417"/>
        <w:gridCol w:w="1418"/>
        <w:gridCol w:w="1559"/>
        <w:gridCol w:w="1526"/>
      </w:tblGrid>
      <w:tr w:rsidR="00EE6C09" w:rsidRPr="00EE6C09" w14:paraId="42F19205" w14:textId="77777777" w:rsidTr="008A0E51">
        <w:tc>
          <w:tcPr>
            <w:tcW w:w="2552" w:type="dxa"/>
          </w:tcPr>
          <w:p w14:paraId="044DED08" w14:textId="6C1FB7F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7" w:type="dxa"/>
          </w:tcPr>
          <w:p w14:paraId="3C8B10B1" w14:textId="7B0AE5D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8" w:type="dxa"/>
          </w:tcPr>
          <w:p w14:paraId="3E0C2666" w14:textId="66703E1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59" w:type="dxa"/>
          </w:tcPr>
          <w:p w14:paraId="7329F78F" w14:textId="45B25B95"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26" w:type="dxa"/>
          </w:tcPr>
          <w:p w14:paraId="2C0B275B" w14:textId="5BB4E497" w:rsidR="00EE6C09" w:rsidRPr="00EE6C09" w:rsidRDefault="00EE6C09" w:rsidP="00EE6C09">
            <w:pPr>
              <w:spacing w:after="0" w:line="240" w:lineRule="auto"/>
              <w:ind w:firstLine="567"/>
              <w:jc w:val="both"/>
              <w:rPr>
                <w:rFonts w:ascii="Arial" w:eastAsia="Calibri" w:hAnsi="Arial" w:cs="Arial"/>
                <w:kern w:val="0"/>
                <w:sz w:val="20"/>
                <w:szCs w:val="20"/>
                <w:lang w:val="en-US"/>
                <w14:ligatures w14:val="none"/>
              </w:rPr>
            </w:pPr>
          </w:p>
        </w:tc>
      </w:tr>
    </w:tbl>
    <w:p w14:paraId="63AE1E73" w14:textId="7777777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bookmarkStart w:id="4" w:name="_Hlk189310963"/>
    </w:p>
    <w:p w14:paraId="29D31BC4" w14:textId="71FA501E" w:rsidR="00EE6C09" w:rsidRPr="00EE6C09" w:rsidRDefault="00C23F46" w:rsidP="00F21B9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bookmarkEnd w:id="4"/>
    <w:p w14:paraId="7A800F45" w14:textId="77777777" w:rsidR="00EE6C09" w:rsidRPr="00DD7FB4" w:rsidRDefault="00EE6C09" w:rsidP="004534DD">
      <w:pPr>
        <w:spacing w:after="0" w:line="240" w:lineRule="auto"/>
        <w:ind w:firstLine="567"/>
        <w:jc w:val="both"/>
        <w:rPr>
          <w:rFonts w:ascii="Arial" w:eastAsia="Calibri" w:hAnsi="Arial" w:cs="Arial"/>
          <w:kern w:val="0"/>
          <w:sz w:val="20"/>
          <w:szCs w:val="20"/>
          <w14:ligatures w14:val="none"/>
        </w:rPr>
      </w:pPr>
    </w:p>
    <w:p w14:paraId="4E7E58E9" w14:textId="65700B70" w:rsidR="004534DD" w:rsidRPr="00DD7FB4" w:rsidRDefault="00974A3A" w:rsidP="004534DD">
      <w:pPr>
        <w:spacing w:after="0" w:line="240" w:lineRule="auto"/>
        <w:ind w:firstLine="567"/>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bookmarkEnd w:id="0"/>
    </w:p>
    <w:sectPr w:rsidR="004534DD" w:rsidRPr="00DD7FB4" w:rsidSect="004534DD">
      <w:pgSz w:w="11906" w:h="16838"/>
      <w:pgMar w:top="1440" w:right="74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04630"/>
    <w:multiLevelType w:val="multilevel"/>
    <w:tmpl w:val="E89E9F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946C1"/>
    <w:multiLevelType w:val="hybridMultilevel"/>
    <w:tmpl w:val="DAA21898"/>
    <w:lvl w:ilvl="0" w:tplc="0426000F">
      <w:start w:val="8"/>
      <w:numFmt w:val="decimal"/>
      <w:lvlText w:val="%1."/>
      <w:lvlJc w:val="left"/>
      <w:pPr>
        <w:ind w:left="720" w:hanging="360"/>
      </w:pPr>
      <w:rPr>
        <w:rFonts w:hint="default"/>
      </w:rPr>
    </w:lvl>
    <w:lvl w:ilvl="1" w:tplc="04260019">
      <w:start w:val="1"/>
      <w:numFmt w:val="lowerLetter"/>
      <w:lvlText w:val="%2."/>
      <w:lvlJc w:val="left"/>
      <w:pPr>
        <w:ind w:left="1494"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C0AB8"/>
    <w:multiLevelType w:val="multilevel"/>
    <w:tmpl w:val="374A7BD8"/>
    <w:lvl w:ilvl="0">
      <w:start w:val="2"/>
      <w:numFmt w:val="decimal"/>
      <w:lvlText w:val="%1."/>
      <w:lvlJc w:val="left"/>
      <w:pPr>
        <w:ind w:left="450" w:hanging="450"/>
      </w:pPr>
      <w:rPr>
        <w:rFonts w:eastAsia="Times New Roman" w:hint="default"/>
        <w:b/>
        <w:bCs/>
      </w:rPr>
    </w:lvl>
    <w:lvl w:ilvl="1">
      <w:start w:val="12"/>
      <w:numFmt w:val="decimal"/>
      <w:lvlText w:val="%1.%2."/>
      <w:lvlJc w:val="left"/>
      <w:pPr>
        <w:ind w:left="1159" w:hanging="45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4"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70276836"/>
    <w:multiLevelType w:val="hybridMultilevel"/>
    <w:tmpl w:val="002AC76A"/>
    <w:lvl w:ilvl="0" w:tplc="91E0C012">
      <w:start w:val="16"/>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7D570A2"/>
    <w:multiLevelType w:val="multilevel"/>
    <w:tmpl w:val="E8742BF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0B3955"/>
    <w:multiLevelType w:val="multilevel"/>
    <w:tmpl w:val="781EA4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125577">
    <w:abstractNumId w:val="0"/>
  </w:num>
  <w:num w:numId="2" w16cid:durableId="577642864">
    <w:abstractNumId w:val="4"/>
  </w:num>
  <w:num w:numId="3" w16cid:durableId="1433549174">
    <w:abstractNumId w:val="6"/>
  </w:num>
  <w:num w:numId="4" w16cid:durableId="316765065">
    <w:abstractNumId w:val="3"/>
  </w:num>
  <w:num w:numId="5" w16cid:durableId="731120618">
    <w:abstractNumId w:val="1"/>
  </w:num>
  <w:num w:numId="6" w16cid:durableId="715204309">
    <w:abstractNumId w:val="7"/>
  </w:num>
  <w:num w:numId="7" w16cid:durableId="305354299">
    <w:abstractNumId w:val="2"/>
  </w:num>
  <w:num w:numId="8" w16cid:durableId="156618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D"/>
    <w:rsid w:val="00012FD4"/>
    <w:rsid w:val="00057A83"/>
    <w:rsid w:val="00076468"/>
    <w:rsid w:val="000959D0"/>
    <w:rsid w:val="00097441"/>
    <w:rsid w:val="000A4EB1"/>
    <w:rsid w:val="000B345F"/>
    <w:rsid w:val="00105F3F"/>
    <w:rsid w:val="00126B82"/>
    <w:rsid w:val="00133B62"/>
    <w:rsid w:val="00152301"/>
    <w:rsid w:val="002529F9"/>
    <w:rsid w:val="0026359D"/>
    <w:rsid w:val="00276D49"/>
    <w:rsid w:val="002A671F"/>
    <w:rsid w:val="002D3BC2"/>
    <w:rsid w:val="00305D00"/>
    <w:rsid w:val="003178C6"/>
    <w:rsid w:val="003225DC"/>
    <w:rsid w:val="003F7CC6"/>
    <w:rsid w:val="00422747"/>
    <w:rsid w:val="00451A7A"/>
    <w:rsid w:val="004534DD"/>
    <w:rsid w:val="00473CEC"/>
    <w:rsid w:val="00490C3E"/>
    <w:rsid w:val="004B7BFB"/>
    <w:rsid w:val="00527D10"/>
    <w:rsid w:val="00573E0B"/>
    <w:rsid w:val="00577277"/>
    <w:rsid w:val="006052A8"/>
    <w:rsid w:val="00647F7C"/>
    <w:rsid w:val="00675FF8"/>
    <w:rsid w:val="006A7827"/>
    <w:rsid w:val="006C508D"/>
    <w:rsid w:val="00701B7D"/>
    <w:rsid w:val="00770F1C"/>
    <w:rsid w:val="008731D1"/>
    <w:rsid w:val="008A115F"/>
    <w:rsid w:val="008A558D"/>
    <w:rsid w:val="009512CA"/>
    <w:rsid w:val="009538FE"/>
    <w:rsid w:val="00974A3A"/>
    <w:rsid w:val="00986FCF"/>
    <w:rsid w:val="009B1CC2"/>
    <w:rsid w:val="00A23D21"/>
    <w:rsid w:val="00A3139B"/>
    <w:rsid w:val="00AA38AB"/>
    <w:rsid w:val="00AC45BB"/>
    <w:rsid w:val="00AE149A"/>
    <w:rsid w:val="00B144AE"/>
    <w:rsid w:val="00B232F3"/>
    <w:rsid w:val="00B64ABB"/>
    <w:rsid w:val="00BA75BE"/>
    <w:rsid w:val="00BB7987"/>
    <w:rsid w:val="00BC4B20"/>
    <w:rsid w:val="00BE3AFE"/>
    <w:rsid w:val="00C23F46"/>
    <w:rsid w:val="00C2627C"/>
    <w:rsid w:val="00C8353C"/>
    <w:rsid w:val="00CA239D"/>
    <w:rsid w:val="00CE053A"/>
    <w:rsid w:val="00CF7584"/>
    <w:rsid w:val="00D4253B"/>
    <w:rsid w:val="00D5273A"/>
    <w:rsid w:val="00D54EAC"/>
    <w:rsid w:val="00D702E8"/>
    <w:rsid w:val="00DA314E"/>
    <w:rsid w:val="00DC15F4"/>
    <w:rsid w:val="00DE1407"/>
    <w:rsid w:val="00DF227D"/>
    <w:rsid w:val="00E33636"/>
    <w:rsid w:val="00E60409"/>
    <w:rsid w:val="00EA1AA8"/>
    <w:rsid w:val="00EA4C9B"/>
    <w:rsid w:val="00EB5764"/>
    <w:rsid w:val="00EE6C09"/>
    <w:rsid w:val="00EF2837"/>
    <w:rsid w:val="00EF4BDF"/>
    <w:rsid w:val="00F21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CA63"/>
  <w15:chartTrackingRefBased/>
  <w15:docId w15:val="{4EB9F4D2-F212-43E8-A51C-227456C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DD"/>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4534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09"/>
    <w:rPr>
      <w:color w:val="474955" w:themeColor="hyperlink"/>
      <w:u w:val="single"/>
    </w:rPr>
  </w:style>
  <w:style w:type="character" w:styleId="UnresolvedMention">
    <w:name w:val="Unresolved Mention"/>
    <w:basedOn w:val="DefaultParagraphFont"/>
    <w:uiPriority w:val="99"/>
    <w:semiHidden/>
    <w:unhideWhenUsed/>
    <w:rsid w:val="00EE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z.lv/lv/atlaujas-pieskirsanas-noteikumi-darbu-veiksanai-dzelzcela-zemes-nodalijuma-josla" TargetMode="External"/><Relationship Id="rId3" Type="http://schemas.openxmlformats.org/officeDocument/2006/relationships/styles" Target="styles.xml"/><Relationship Id="rId7" Type="http://schemas.openxmlformats.org/officeDocument/2006/relationships/hyperlink" Target="http://www.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laujadarbiem@ldz.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p@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703E-A78E-4782-8BEE-96C5CB48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4568</Words>
  <Characters>2604</Characters>
  <Application>Microsoft Office Word</Application>
  <DocSecurity>0</DocSecurity>
  <Lines>21</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Vita Geikina</cp:lastModifiedBy>
  <cp:revision>5</cp:revision>
  <dcterms:created xsi:type="dcterms:W3CDTF">2026-05-13T10:10:00Z</dcterms:created>
  <dcterms:modified xsi:type="dcterms:W3CDTF">2026-05-14T08:55:00Z</dcterms:modified>
</cp:coreProperties>
</file>