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F552" w14:textId="3DA59AEC" w:rsidR="003D37DC" w:rsidRPr="00A20F62" w:rsidRDefault="0018223C" w:rsidP="003D37DC">
      <w:pPr>
        <w:textAlignment w:val="baseline"/>
        <w:rPr>
          <w:rFonts w:ascii="Arial" w:hAnsi="Arial" w:cs="Arial"/>
          <w:b/>
          <w:bCs/>
          <w:sz w:val="22"/>
        </w:rPr>
      </w:pPr>
      <w:r w:rsidRPr="00A20F62">
        <w:rPr>
          <w:rFonts w:ascii="Arial" w:hAnsi="Arial" w:cs="Arial"/>
          <w:b/>
          <w:bCs/>
          <w:sz w:val="22"/>
        </w:rPr>
        <w:t>Sabiedrisko pakalpojumu regulēšanas komisij</w:t>
      </w:r>
      <w:r>
        <w:rPr>
          <w:rFonts w:ascii="Arial" w:hAnsi="Arial" w:cs="Arial"/>
          <w:b/>
          <w:bCs/>
          <w:sz w:val="22"/>
        </w:rPr>
        <w:t>a 2025. gada 18. decembrī apstiprinā</w:t>
      </w:r>
      <w:r w:rsidR="008A34CA">
        <w:rPr>
          <w:rFonts w:ascii="Arial" w:hAnsi="Arial" w:cs="Arial"/>
          <w:b/>
          <w:bCs/>
          <w:sz w:val="22"/>
        </w:rPr>
        <w:t>jusi</w:t>
      </w:r>
      <w:r>
        <w:rPr>
          <w:rFonts w:ascii="Arial" w:hAnsi="Arial" w:cs="Arial"/>
          <w:b/>
          <w:bCs/>
          <w:sz w:val="22"/>
        </w:rPr>
        <w:t xml:space="preserve"> </w:t>
      </w:r>
      <w:r w:rsidR="003D37DC" w:rsidRPr="00A20F62">
        <w:rPr>
          <w:rFonts w:ascii="Arial" w:hAnsi="Arial" w:cs="Arial"/>
          <w:b/>
          <w:bCs/>
          <w:sz w:val="22"/>
        </w:rPr>
        <w:t>Latvijas dzelzceļš sadales pakalpojumu tarifu</w:t>
      </w:r>
    </w:p>
    <w:p w14:paraId="2582551C" w14:textId="77777777" w:rsidR="003D37DC" w:rsidRPr="00A20F62" w:rsidRDefault="003D37DC" w:rsidP="003D37DC">
      <w:pPr>
        <w:textAlignment w:val="baseline"/>
        <w:rPr>
          <w:rFonts w:ascii="Arial" w:hAnsi="Arial" w:cs="Arial"/>
          <w:sz w:val="22"/>
        </w:rPr>
      </w:pPr>
    </w:p>
    <w:p w14:paraId="1407D2A4" w14:textId="074626EC" w:rsidR="003D37DC" w:rsidRPr="00920832" w:rsidRDefault="003D37DC" w:rsidP="008A34CA">
      <w:pPr>
        <w:textAlignment w:val="baseline"/>
        <w:rPr>
          <w:rFonts w:ascii="Arial" w:hAnsi="Arial" w:cs="Arial"/>
          <w:sz w:val="22"/>
        </w:rPr>
      </w:pPr>
      <w:r w:rsidRPr="00920832">
        <w:rPr>
          <w:rFonts w:ascii="Arial" w:hAnsi="Arial" w:cs="Arial"/>
          <w:sz w:val="22"/>
        </w:rPr>
        <w:t>Lai nodrošinātu sadales sistēmas operatora tehnoloģiski un ekonomiski pamatotu izmaksu segšanai nepieciešamo līdzekļu apjomu, VAS “Latvijas dzelzceļš” (turpmāk – LDz)</w:t>
      </w:r>
      <w:r w:rsidR="0018223C">
        <w:rPr>
          <w:rFonts w:ascii="Arial" w:hAnsi="Arial" w:cs="Arial"/>
          <w:sz w:val="22"/>
        </w:rPr>
        <w:t xml:space="preserve"> 2025. gada 21. martā iesniedza</w:t>
      </w:r>
      <w:r w:rsidRPr="00920832">
        <w:rPr>
          <w:rFonts w:ascii="Arial" w:hAnsi="Arial" w:cs="Arial"/>
          <w:sz w:val="22"/>
        </w:rPr>
        <w:t xml:space="preserve"> jaunu elektroenerģijas sadales sistēmas pakalpojumu tarifu projektu, atbilstoši “Elektroenerģijas sadales sistēmas pakalpojumu tarifu aprēķināšanas metodikai” (turpmāk – Metodika), kas apstiprināta ar 2022. gada 28. novembra Sabiedriskās pakalpojumu regulēšanas komisijas padomes (turpmāk - SPRK) lēmumu Nr.1/41. </w:t>
      </w:r>
      <w:r w:rsidR="0018223C">
        <w:rPr>
          <w:rFonts w:ascii="Arial" w:eastAsia="Times New Roman" w:hAnsi="Arial" w:cs="Arial"/>
          <w:sz w:val="22"/>
          <w:lang w:eastAsia="lv-LV"/>
        </w:rPr>
        <w:t xml:space="preserve">Apstiprinātais </w:t>
      </w:r>
      <w:r w:rsidRPr="00920832">
        <w:rPr>
          <w:rFonts w:ascii="Arial" w:eastAsia="Times New Roman" w:hAnsi="Arial" w:cs="Arial"/>
          <w:sz w:val="22"/>
          <w:lang w:eastAsia="lv-LV"/>
        </w:rPr>
        <w:t>elektroenerģijas sadales sistēmas pakalpojumu tarif</w:t>
      </w:r>
      <w:r w:rsidR="0018223C">
        <w:rPr>
          <w:rFonts w:ascii="Arial" w:eastAsia="Times New Roman" w:hAnsi="Arial" w:cs="Arial"/>
          <w:sz w:val="22"/>
          <w:lang w:eastAsia="lv-LV"/>
        </w:rPr>
        <w:t>s</w:t>
      </w:r>
      <w:r w:rsidRPr="00920832">
        <w:rPr>
          <w:rFonts w:ascii="Arial" w:eastAsia="Times New Roman" w:hAnsi="Arial" w:cs="Arial"/>
          <w:sz w:val="22"/>
          <w:lang w:eastAsia="lv-LV"/>
        </w:rPr>
        <w:t xml:space="preserve"> </w:t>
      </w:r>
      <w:r w:rsidR="0018223C">
        <w:rPr>
          <w:rFonts w:ascii="Arial" w:eastAsia="Times New Roman" w:hAnsi="Arial" w:cs="Arial"/>
          <w:sz w:val="22"/>
          <w:lang w:eastAsia="lv-LV"/>
        </w:rPr>
        <w:t xml:space="preserve">paredz </w:t>
      </w:r>
      <w:r w:rsidRPr="00920832">
        <w:rPr>
          <w:rFonts w:ascii="Arial" w:hAnsi="Arial" w:cs="Arial"/>
          <w:sz w:val="22"/>
        </w:rPr>
        <w:t>regulatīv</w:t>
      </w:r>
      <w:r w:rsidR="0018223C">
        <w:rPr>
          <w:rFonts w:ascii="Arial" w:hAnsi="Arial" w:cs="Arial"/>
          <w:sz w:val="22"/>
        </w:rPr>
        <w:t>o</w:t>
      </w:r>
      <w:r w:rsidRPr="00920832">
        <w:rPr>
          <w:rFonts w:ascii="Arial" w:hAnsi="Arial" w:cs="Arial"/>
          <w:sz w:val="22"/>
        </w:rPr>
        <w:t xml:space="preserve"> period</w:t>
      </w:r>
      <w:r w:rsidR="0018223C">
        <w:rPr>
          <w:rFonts w:ascii="Arial" w:hAnsi="Arial" w:cs="Arial"/>
          <w:sz w:val="22"/>
        </w:rPr>
        <w:t>u</w:t>
      </w:r>
      <w:r w:rsidRPr="00920832">
        <w:rPr>
          <w:rFonts w:ascii="Arial" w:hAnsi="Arial" w:cs="Arial"/>
          <w:sz w:val="22"/>
        </w:rPr>
        <w:t xml:space="preserve"> no 202</w:t>
      </w:r>
      <w:r w:rsidR="0018223C">
        <w:rPr>
          <w:rFonts w:ascii="Arial" w:hAnsi="Arial" w:cs="Arial"/>
          <w:sz w:val="22"/>
        </w:rPr>
        <w:t>6</w:t>
      </w:r>
      <w:r w:rsidRPr="00920832">
        <w:rPr>
          <w:rFonts w:ascii="Arial" w:hAnsi="Arial" w:cs="Arial"/>
          <w:sz w:val="22"/>
        </w:rPr>
        <w:t xml:space="preserve">. gada 1. </w:t>
      </w:r>
      <w:r w:rsidR="0018223C">
        <w:rPr>
          <w:rFonts w:ascii="Arial" w:hAnsi="Arial" w:cs="Arial"/>
          <w:sz w:val="22"/>
        </w:rPr>
        <w:t>februāra</w:t>
      </w:r>
      <w:r w:rsidRPr="00920832">
        <w:rPr>
          <w:rFonts w:ascii="Arial" w:hAnsi="Arial" w:cs="Arial"/>
          <w:sz w:val="22"/>
        </w:rPr>
        <w:t xml:space="preserve"> līdz 20</w:t>
      </w:r>
      <w:r w:rsidR="0018223C">
        <w:rPr>
          <w:rFonts w:ascii="Arial" w:hAnsi="Arial" w:cs="Arial"/>
          <w:sz w:val="22"/>
        </w:rPr>
        <w:t>30</w:t>
      </w:r>
      <w:r w:rsidRPr="00920832">
        <w:rPr>
          <w:rFonts w:ascii="Arial" w:hAnsi="Arial" w:cs="Arial"/>
          <w:sz w:val="22"/>
        </w:rPr>
        <w:t xml:space="preserve">. gada </w:t>
      </w:r>
      <w:r w:rsidR="0018223C">
        <w:rPr>
          <w:rFonts w:ascii="Arial" w:hAnsi="Arial" w:cs="Arial"/>
          <w:sz w:val="22"/>
        </w:rPr>
        <w:t>30</w:t>
      </w:r>
      <w:r w:rsidRPr="00920832">
        <w:rPr>
          <w:rFonts w:ascii="Arial" w:hAnsi="Arial" w:cs="Arial"/>
          <w:sz w:val="22"/>
        </w:rPr>
        <w:t xml:space="preserve">. </w:t>
      </w:r>
      <w:r w:rsidR="0018223C">
        <w:rPr>
          <w:rFonts w:ascii="Arial" w:hAnsi="Arial" w:cs="Arial"/>
          <w:sz w:val="22"/>
        </w:rPr>
        <w:t>jūnijam</w:t>
      </w:r>
      <w:r w:rsidRPr="00920832">
        <w:rPr>
          <w:rFonts w:ascii="Arial" w:hAnsi="Arial" w:cs="Arial"/>
          <w:sz w:val="22"/>
        </w:rPr>
        <w:t xml:space="preserve">. Spēkā esošos un </w:t>
      </w:r>
      <w:r w:rsidR="00031F10">
        <w:rPr>
          <w:rFonts w:ascii="Arial" w:hAnsi="Arial" w:cs="Arial"/>
          <w:sz w:val="22"/>
        </w:rPr>
        <w:t>apstiprinātajā</w:t>
      </w:r>
      <w:r w:rsidRPr="00920832">
        <w:rPr>
          <w:rFonts w:ascii="Arial" w:hAnsi="Arial" w:cs="Arial"/>
          <w:sz w:val="22"/>
        </w:rPr>
        <w:t xml:space="preserve"> projektā iekļautos tarifus ir grūti salīdzināt, jo pašlaik spēkā esošajos LDz sadales pakalpojumu tarifos elekt</w:t>
      </w:r>
      <w:r w:rsidR="005E3AEA">
        <w:rPr>
          <w:rFonts w:ascii="Arial" w:hAnsi="Arial" w:cs="Arial"/>
          <w:sz w:val="22"/>
        </w:rPr>
        <w:t>ro</w:t>
      </w:r>
      <w:r w:rsidRPr="00920832">
        <w:rPr>
          <w:rFonts w:ascii="Arial" w:hAnsi="Arial" w:cs="Arial"/>
          <w:sz w:val="22"/>
        </w:rPr>
        <w:t xml:space="preserve">enerģijas sadales pakalpojuma maksa ir noteikta par patērēto elektroenerģijas daudzumu un nav iekļauta maksa par jaudas uzturēšanu. Ņemot vērā, ka elektroenerģijas sadales pakalpojuma nodrošināšanai lielākā daļa izmaksu nav atkarīgas no patērētā elektroenerģijas daudzuma, bet no uzturamās infrastruktūras lieluma un pieslēgumu skaita,  </w:t>
      </w:r>
      <w:r w:rsidR="0018223C">
        <w:rPr>
          <w:rFonts w:ascii="Arial" w:hAnsi="Arial" w:cs="Arial"/>
          <w:sz w:val="22"/>
        </w:rPr>
        <w:t>apstiprināt</w:t>
      </w:r>
      <w:r w:rsidR="00031F10">
        <w:rPr>
          <w:rFonts w:ascii="Arial" w:hAnsi="Arial" w:cs="Arial"/>
          <w:sz w:val="22"/>
        </w:rPr>
        <w:t>ajā</w:t>
      </w:r>
      <w:r w:rsidR="0018223C">
        <w:rPr>
          <w:rFonts w:ascii="Arial" w:hAnsi="Arial" w:cs="Arial"/>
          <w:sz w:val="22"/>
        </w:rPr>
        <w:t xml:space="preserve"> </w:t>
      </w:r>
      <w:r w:rsidR="00031F10" w:rsidRPr="00920832">
        <w:rPr>
          <w:rFonts w:ascii="Arial" w:hAnsi="Arial" w:cs="Arial"/>
          <w:sz w:val="22"/>
        </w:rPr>
        <w:t xml:space="preserve">LDz </w:t>
      </w:r>
      <w:r w:rsidR="0018223C">
        <w:rPr>
          <w:rFonts w:ascii="Arial" w:hAnsi="Arial" w:cs="Arial"/>
          <w:sz w:val="22"/>
        </w:rPr>
        <w:t>elektroenerģijas sadales pakalpojumu tarifā ir iekļauta tarifa nemainīgā daļa līdzīgi kādi ir spēkā esošie elektroenerģijas sadales pakalpojumu tarifi pārējiem tirgus dalībniekiem</w:t>
      </w:r>
      <w:r w:rsidRPr="00920832">
        <w:rPr>
          <w:rFonts w:ascii="Arial" w:hAnsi="Arial" w:cs="Arial"/>
          <w:sz w:val="22"/>
        </w:rPr>
        <w:t xml:space="preserve">. </w:t>
      </w:r>
      <w:r w:rsidR="00031F10">
        <w:rPr>
          <w:rFonts w:ascii="Arial" w:hAnsi="Arial" w:cs="Arial"/>
          <w:sz w:val="22"/>
        </w:rPr>
        <w:t xml:space="preserve">Šobrīd piemērotais </w:t>
      </w:r>
      <w:r w:rsidR="0018223C">
        <w:rPr>
          <w:rFonts w:ascii="Arial" w:hAnsi="Arial" w:cs="Arial"/>
          <w:sz w:val="22"/>
        </w:rPr>
        <w:t xml:space="preserve">LDz elektroenerģijas sadales pakalpojumu tarifs ir spēkā no 2013. gada, līdz ar to LDz klientiem šāda tarifa struktūra ir jaunums. </w:t>
      </w:r>
      <w:r w:rsidRPr="00920832">
        <w:rPr>
          <w:rFonts w:ascii="Arial" w:hAnsi="Arial" w:cs="Arial"/>
          <w:sz w:val="22"/>
        </w:rPr>
        <w:t>Ņemot vērā strukturālās izmaiņas sadales pakalpojuma tarifa uzbūvē, LDz ir sagatavojis salīdzinājumu</w:t>
      </w:r>
      <w:r w:rsidR="0018223C">
        <w:rPr>
          <w:rFonts w:ascii="Arial" w:hAnsi="Arial" w:cs="Arial"/>
          <w:sz w:val="22"/>
        </w:rPr>
        <w:t xml:space="preserve"> jaunajam</w:t>
      </w:r>
      <w:r w:rsidRPr="00920832">
        <w:rPr>
          <w:rFonts w:ascii="Arial" w:hAnsi="Arial" w:cs="Arial"/>
          <w:sz w:val="22"/>
        </w:rPr>
        <w:t xml:space="preserve"> elektroenerģijas sadales pakalpojuma tarifam ar </w:t>
      </w:r>
      <w:r w:rsidR="0018223C">
        <w:rPr>
          <w:rFonts w:ascii="Arial" w:hAnsi="Arial" w:cs="Arial"/>
          <w:sz w:val="22"/>
        </w:rPr>
        <w:t xml:space="preserve">līdz 2026. gada 31. janvārim </w:t>
      </w:r>
      <w:r w:rsidRPr="00920832">
        <w:rPr>
          <w:rFonts w:ascii="Arial" w:hAnsi="Arial" w:cs="Arial"/>
          <w:sz w:val="22"/>
        </w:rPr>
        <w:t>spēkā esošo</w:t>
      </w:r>
      <w:r w:rsidR="0018223C">
        <w:rPr>
          <w:rFonts w:ascii="Arial" w:hAnsi="Arial" w:cs="Arial"/>
          <w:sz w:val="22"/>
        </w:rPr>
        <w:t xml:space="preserve"> tarifu</w:t>
      </w:r>
      <w:r w:rsidRPr="00920832">
        <w:rPr>
          <w:rFonts w:ascii="Arial" w:hAnsi="Arial" w:cs="Arial"/>
          <w:sz w:val="22"/>
        </w:rPr>
        <w:t>, izmantojot salīdzinājumu ar kopējo maksājuma apmēru mēnesī biežāk sastopamo pieslēgumu jaudām katrā no sprieguma pakāpēm, kas apkopots 1.tabulā.</w:t>
      </w:r>
    </w:p>
    <w:p w14:paraId="0B288B4A" w14:textId="77777777" w:rsidR="003D37DC" w:rsidRPr="00920832" w:rsidRDefault="003D37DC" w:rsidP="003D37DC">
      <w:pPr>
        <w:jc w:val="right"/>
        <w:textAlignment w:val="baseline"/>
        <w:rPr>
          <w:rFonts w:ascii="Arial" w:eastAsia="Arial" w:hAnsi="Arial" w:cs="Arial"/>
          <w:sz w:val="16"/>
          <w:szCs w:val="16"/>
          <w:lang w:eastAsia="lv-LV"/>
        </w:rPr>
      </w:pPr>
      <w:r w:rsidRPr="00920832">
        <w:rPr>
          <w:rFonts w:ascii="Arial" w:hAnsi="Arial" w:cs="Arial"/>
          <w:sz w:val="22"/>
        </w:rPr>
        <w:t>1.tabula</w:t>
      </w:r>
    </w:p>
    <w:p w14:paraId="44FFD160" w14:textId="77777777" w:rsidR="00CA56D7" w:rsidRPr="00920832" w:rsidRDefault="003D37DC" w:rsidP="003D37DC">
      <w:pPr>
        <w:textAlignment w:val="baseline"/>
        <w:rPr>
          <w:rFonts w:ascii="Arial" w:eastAsia="Times New Roman" w:hAnsi="Arial" w:cs="Arial"/>
          <w:szCs w:val="24"/>
          <w:lang w:eastAsia="lv-LV"/>
        </w:rPr>
      </w:pPr>
      <w:r w:rsidRPr="00920832">
        <w:rPr>
          <w:rFonts w:ascii="Arial" w:eastAsia="Times New Roman" w:hAnsi="Arial" w:cs="Arial"/>
          <w:szCs w:val="24"/>
          <w:lang w:eastAsia="lv-LV"/>
        </w:rPr>
        <w:t> </w:t>
      </w:r>
      <w:r w:rsidRPr="00920832">
        <w:rPr>
          <w:rFonts w:ascii="Arial" w:eastAsia="Times New Roman" w:hAnsi="Arial" w:cs="Arial"/>
          <w:szCs w:val="24"/>
          <w:lang w:eastAsia="lv-LV"/>
        </w:rPr>
        <w:tab/>
      </w:r>
    </w:p>
    <w:tbl>
      <w:tblPr>
        <w:tblW w:w="9024" w:type="dxa"/>
        <w:tblLayout w:type="fixed"/>
        <w:tblLook w:val="04A0" w:firstRow="1" w:lastRow="0" w:firstColumn="1" w:lastColumn="0" w:noHBand="0" w:noVBand="1"/>
      </w:tblPr>
      <w:tblGrid>
        <w:gridCol w:w="1395"/>
        <w:gridCol w:w="1276"/>
        <w:gridCol w:w="1134"/>
        <w:gridCol w:w="992"/>
        <w:gridCol w:w="1134"/>
        <w:gridCol w:w="992"/>
        <w:gridCol w:w="1134"/>
        <w:gridCol w:w="967"/>
      </w:tblGrid>
      <w:tr w:rsidR="00CA56D7" w:rsidRPr="00CA56D7" w14:paraId="03149904" w14:textId="77777777" w:rsidTr="00655384">
        <w:trPr>
          <w:trHeight w:val="1840"/>
          <w:tblHeader/>
        </w:trPr>
        <w:tc>
          <w:tcPr>
            <w:tcW w:w="1395" w:type="dxa"/>
            <w:tcBorders>
              <w:top w:val="double" w:sz="6" w:space="0" w:color="000000"/>
              <w:left w:val="double" w:sz="6" w:space="0" w:color="000000"/>
              <w:bottom w:val="single" w:sz="4" w:space="0" w:color="000000"/>
              <w:right w:val="single" w:sz="4" w:space="0" w:color="000000"/>
            </w:tcBorders>
            <w:shd w:val="clear" w:color="auto" w:fill="auto"/>
            <w:vAlign w:val="center"/>
            <w:hideMark/>
          </w:tcPr>
          <w:p w14:paraId="25102D3D"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Sabiedriskā pakalpojuma veids</w:t>
            </w:r>
          </w:p>
        </w:tc>
        <w:tc>
          <w:tcPr>
            <w:tcW w:w="1276" w:type="dxa"/>
            <w:tcBorders>
              <w:top w:val="double" w:sz="6" w:space="0" w:color="000000"/>
              <w:left w:val="nil"/>
              <w:bottom w:val="single" w:sz="4" w:space="0" w:color="000000"/>
              <w:right w:val="single" w:sz="4" w:space="0" w:color="000000"/>
            </w:tcBorders>
            <w:shd w:val="clear" w:color="auto" w:fill="auto"/>
            <w:vAlign w:val="center"/>
            <w:hideMark/>
          </w:tcPr>
          <w:p w14:paraId="78A43D12"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Pieslēguma jauda (vid. LDz tīklā)</w:t>
            </w:r>
          </w:p>
        </w:tc>
        <w:tc>
          <w:tcPr>
            <w:tcW w:w="1134" w:type="dxa"/>
            <w:tcBorders>
              <w:top w:val="double" w:sz="6" w:space="0" w:color="000000"/>
              <w:left w:val="nil"/>
              <w:bottom w:val="single" w:sz="4" w:space="0" w:color="000000"/>
              <w:right w:val="single" w:sz="4" w:space="0" w:color="000000"/>
            </w:tcBorders>
            <w:shd w:val="clear" w:color="auto" w:fill="auto"/>
            <w:vAlign w:val="center"/>
            <w:hideMark/>
          </w:tcPr>
          <w:p w14:paraId="4FC7D96B"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Mērvienība pieslēguma jaudas noteikšanai</w:t>
            </w:r>
          </w:p>
        </w:tc>
        <w:tc>
          <w:tcPr>
            <w:tcW w:w="992" w:type="dxa"/>
            <w:tcBorders>
              <w:top w:val="double" w:sz="6" w:space="0" w:color="000000"/>
              <w:left w:val="nil"/>
              <w:bottom w:val="single" w:sz="4" w:space="0" w:color="000000"/>
              <w:right w:val="single" w:sz="4" w:space="0" w:color="000000"/>
            </w:tcBorders>
            <w:shd w:val="clear" w:color="auto" w:fill="auto"/>
            <w:vAlign w:val="center"/>
            <w:hideMark/>
          </w:tcPr>
          <w:p w14:paraId="40ECBDB4"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Patēriņš, kWh</w:t>
            </w:r>
          </w:p>
        </w:tc>
        <w:tc>
          <w:tcPr>
            <w:tcW w:w="1134" w:type="dxa"/>
            <w:tcBorders>
              <w:top w:val="double" w:sz="6" w:space="0" w:color="000000"/>
              <w:left w:val="nil"/>
              <w:bottom w:val="single" w:sz="4" w:space="0" w:color="000000"/>
              <w:right w:val="single" w:sz="4" w:space="0" w:color="000000"/>
            </w:tcBorders>
            <w:shd w:val="clear" w:color="auto" w:fill="auto"/>
            <w:vAlign w:val="center"/>
            <w:hideMark/>
          </w:tcPr>
          <w:p w14:paraId="55368871"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Spēkā esošais tarifs līdz 30.01.2025. EUR/kWh</w:t>
            </w:r>
          </w:p>
        </w:tc>
        <w:tc>
          <w:tcPr>
            <w:tcW w:w="992" w:type="dxa"/>
            <w:tcBorders>
              <w:top w:val="double" w:sz="6" w:space="0" w:color="000000"/>
              <w:left w:val="nil"/>
              <w:bottom w:val="single" w:sz="4" w:space="0" w:color="000000"/>
              <w:right w:val="single" w:sz="4" w:space="0" w:color="000000"/>
            </w:tcBorders>
            <w:shd w:val="clear" w:color="auto" w:fill="auto"/>
            <w:vAlign w:val="center"/>
            <w:hideMark/>
          </w:tcPr>
          <w:p w14:paraId="281D4007"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 xml:space="preserve"> Piedāvātais mainīgais tarifs EUR/kWh</w:t>
            </w:r>
          </w:p>
        </w:tc>
        <w:tc>
          <w:tcPr>
            <w:tcW w:w="1134" w:type="dxa"/>
            <w:tcBorders>
              <w:top w:val="double" w:sz="6" w:space="0" w:color="000000"/>
              <w:left w:val="nil"/>
              <w:bottom w:val="single" w:sz="4" w:space="0" w:color="000000"/>
              <w:right w:val="single" w:sz="4" w:space="0" w:color="000000"/>
            </w:tcBorders>
            <w:shd w:val="clear" w:color="auto" w:fill="auto"/>
            <w:vAlign w:val="center"/>
            <w:hideMark/>
          </w:tcPr>
          <w:p w14:paraId="052E1261"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Piedāvātais fiksētai tarifs, EUR/kW vai A (atbilstoši 3. kolonnā norādītajai vienībai)</w:t>
            </w:r>
          </w:p>
        </w:tc>
        <w:tc>
          <w:tcPr>
            <w:tcW w:w="967" w:type="dxa"/>
            <w:tcBorders>
              <w:top w:val="double" w:sz="6" w:space="0" w:color="000000"/>
              <w:left w:val="nil"/>
              <w:bottom w:val="single" w:sz="4" w:space="0" w:color="000000"/>
              <w:right w:val="double" w:sz="6" w:space="0" w:color="000000"/>
            </w:tcBorders>
            <w:shd w:val="clear" w:color="auto" w:fill="auto"/>
            <w:vAlign w:val="center"/>
            <w:hideMark/>
          </w:tcPr>
          <w:p w14:paraId="5383D1CD" w14:textId="04357BF0"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Salīdzin</w:t>
            </w:r>
            <w:r>
              <w:rPr>
                <w:rFonts w:ascii="Arial Narrow" w:eastAsia="Times New Roman" w:hAnsi="Arial Narrow" w:cs="Arial"/>
                <w:b/>
                <w:bCs/>
                <w:color w:val="000000"/>
                <w:sz w:val="20"/>
                <w:szCs w:val="20"/>
                <w:lang w:eastAsia="lv-LV"/>
              </w:rPr>
              <w:t>.</w:t>
            </w:r>
            <w:r w:rsidRPr="00CA56D7">
              <w:rPr>
                <w:rFonts w:ascii="Arial Narrow" w:eastAsia="Times New Roman" w:hAnsi="Arial Narrow" w:cs="Arial"/>
                <w:b/>
                <w:bCs/>
                <w:color w:val="000000"/>
                <w:sz w:val="20"/>
                <w:szCs w:val="20"/>
                <w:lang w:eastAsia="lv-LV"/>
              </w:rPr>
              <w:t>, % vai EUR (</w:t>
            </w:r>
            <w:r>
              <w:rPr>
                <w:rFonts w:ascii="Arial Narrow" w:eastAsia="Times New Roman" w:hAnsi="Arial Narrow" w:cs="Arial"/>
                <w:b/>
                <w:bCs/>
                <w:color w:val="000000"/>
                <w:sz w:val="20"/>
                <w:szCs w:val="20"/>
                <w:lang w:eastAsia="lv-LV"/>
              </w:rPr>
              <w:t>pie 4. kolonnā norādītā patēriņa</w:t>
            </w:r>
            <w:r w:rsidRPr="00CA56D7">
              <w:rPr>
                <w:rFonts w:ascii="Arial Narrow" w:eastAsia="Times New Roman" w:hAnsi="Arial Narrow" w:cs="Arial"/>
                <w:b/>
                <w:bCs/>
                <w:color w:val="000000"/>
                <w:sz w:val="20"/>
                <w:szCs w:val="20"/>
                <w:lang w:eastAsia="lv-LV"/>
              </w:rPr>
              <w:t>)</w:t>
            </w:r>
          </w:p>
        </w:tc>
      </w:tr>
      <w:tr w:rsidR="00CA56D7" w:rsidRPr="00CA56D7" w14:paraId="390D9379" w14:textId="77777777" w:rsidTr="00655384">
        <w:trPr>
          <w:trHeight w:val="300"/>
          <w:tblHeader/>
        </w:trPr>
        <w:tc>
          <w:tcPr>
            <w:tcW w:w="1395" w:type="dxa"/>
            <w:tcBorders>
              <w:top w:val="nil"/>
              <w:left w:val="double" w:sz="6" w:space="0" w:color="000000"/>
              <w:bottom w:val="single" w:sz="4" w:space="0" w:color="000000"/>
              <w:right w:val="single" w:sz="4" w:space="0" w:color="000000"/>
            </w:tcBorders>
            <w:shd w:val="clear" w:color="auto" w:fill="auto"/>
            <w:vAlign w:val="center"/>
            <w:hideMark/>
          </w:tcPr>
          <w:p w14:paraId="483EE560" w14:textId="77777777" w:rsidR="00CA56D7" w:rsidRPr="00CA56D7" w:rsidRDefault="00CA56D7" w:rsidP="00CA56D7">
            <w:pPr>
              <w:jc w:val="center"/>
              <w:rPr>
                <w:rFonts w:ascii="Arial Narrow" w:eastAsia="Times New Roman" w:hAnsi="Arial Narrow" w:cs="Arial"/>
                <w:color w:val="000000"/>
                <w:sz w:val="16"/>
                <w:szCs w:val="16"/>
                <w:lang w:eastAsia="lv-LV"/>
              </w:rPr>
            </w:pPr>
            <w:r w:rsidRPr="00CA56D7">
              <w:rPr>
                <w:rFonts w:ascii="Arial Narrow" w:eastAsia="Times New Roman" w:hAnsi="Arial Narrow" w:cs="Arial"/>
                <w:color w:val="000000"/>
                <w:sz w:val="16"/>
                <w:szCs w:val="16"/>
                <w:lang w:eastAsia="lv-LV"/>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2FF27330" w14:textId="77777777" w:rsidR="00CA56D7" w:rsidRPr="00CA56D7" w:rsidRDefault="00CA56D7" w:rsidP="00CA56D7">
            <w:pPr>
              <w:jc w:val="center"/>
              <w:rPr>
                <w:rFonts w:ascii="Arial" w:eastAsia="Times New Roman" w:hAnsi="Arial" w:cs="Arial"/>
                <w:color w:val="000000"/>
                <w:sz w:val="16"/>
                <w:szCs w:val="16"/>
                <w:lang w:eastAsia="lv-LV"/>
              </w:rPr>
            </w:pPr>
            <w:r w:rsidRPr="00CA56D7">
              <w:rPr>
                <w:rFonts w:ascii="Arial" w:eastAsia="Times New Roman" w:hAnsi="Arial" w:cs="Arial"/>
                <w:color w:val="000000"/>
                <w:sz w:val="16"/>
                <w:szCs w:val="16"/>
                <w:lang w:eastAsia="lv-LV"/>
              </w:rPr>
              <w:t>2</w:t>
            </w:r>
          </w:p>
        </w:tc>
        <w:tc>
          <w:tcPr>
            <w:tcW w:w="1134" w:type="dxa"/>
            <w:tcBorders>
              <w:top w:val="nil"/>
              <w:left w:val="nil"/>
              <w:bottom w:val="single" w:sz="4" w:space="0" w:color="000000"/>
              <w:right w:val="single" w:sz="4" w:space="0" w:color="000000"/>
            </w:tcBorders>
            <w:shd w:val="clear" w:color="auto" w:fill="auto"/>
            <w:vAlign w:val="center"/>
            <w:hideMark/>
          </w:tcPr>
          <w:p w14:paraId="0339C4B8" w14:textId="77777777" w:rsidR="00CA56D7" w:rsidRPr="00CA56D7" w:rsidRDefault="00CA56D7" w:rsidP="00CA56D7">
            <w:pPr>
              <w:jc w:val="center"/>
              <w:rPr>
                <w:rFonts w:ascii="Arial Narrow" w:eastAsia="Times New Roman" w:hAnsi="Arial Narrow" w:cs="Arial"/>
                <w:color w:val="000000"/>
                <w:sz w:val="16"/>
                <w:szCs w:val="16"/>
                <w:lang w:eastAsia="lv-LV"/>
              </w:rPr>
            </w:pPr>
            <w:r w:rsidRPr="00CA56D7">
              <w:rPr>
                <w:rFonts w:ascii="Arial Narrow" w:eastAsia="Times New Roman" w:hAnsi="Arial Narrow" w:cs="Arial"/>
                <w:color w:val="000000"/>
                <w:sz w:val="16"/>
                <w:szCs w:val="16"/>
                <w:lang w:eastAsia="lv-LV"/>
              </w:rPr>
              <w:t>3</w:t>
            </w:r>
          </w:p>
        </w:tc>
        <w:tc>
          <w:tcPr>
            <w:tcW w:w="992" w:type="dxa"/>
            <w:tcBorders>
              <w:top w:val="nil"/>
              <w:left w:val="nil"/>
              <w:bottom w:val="single" w:sz="4" w:space="0" w:color="000000"/>
              <w:right w:val="single" w:sz="4" w:space="0" w:color="000000"/>
            </w:tcBorders>
            <w:shd w:val="clear" w:color="auto" w:fill="auto"/>
            <w:noWrap/>
            <w:vAlign w:val="bottom"/>
            <w:hideMark/>
          </w:tcPr>
          <w:p w14:paraId="5A3C76DF" w14:textId="77777777" w:rsidR="00CA56D7" w:rsidRPr="00CA56D7" w:rsidRDefault="00CA56D7" w:rsidP="00CA56D7">
            <w:pPr>
              <w:jc w:val="center"/>
              <w:rPr>
                <w:rFonts w:ascii="Arial" w:eastAsia="Times New Roman" w:hAnsi="Arial" w:cs="Arial"/>
                <w:color w:val="000000"/>
                <w:sz w:val="16"/>
                <w:szCs w:val="16"/>
                <w:lang w:eastAsia="lv-LV"/>
              </w:rPr>
            </w:pPr>
            <w:r w:rsidRPr="00CA56D7">
              <w:rPr>
                <w:rFonts w:ascii="Arial" w:eastAsia="Times New Roman" w:hAnsi="Arial" w:cs="Arial"/>
                <w:color w:val="000000"/>
                <w:sz w:val="16"/>
                <w:szCs w:val="16"/>
                <w:lang w:eastAsia="lv-LV"/>
              </w:rPr>
              <w:t>4</w:t>
            </w:r>
          </w:p>
        </w:tc>
        <w:tc>
          <w:tcPr>
            <w:tcW w:w="1134" w:type="dxa"/>
            <w:tcBorders>
              <w:top w:val="nil"/>
              <w:left w:val="nil"/>
              <w:bottom w:val="single" w:sz="4" w:space="0" w:color="000000"/>
              <w:right w:val="single" w:sz="4" w:space="0" w:color="000000"/>
            </w:tcBorders>
            <w:shd w:val="clear" w:color="auto" w:fill="auto"/>
            <w:vAlign w:val="center"/>
            <w:hideMark/>
          </w:tcPr>
          <w:p w14:paraId="5CA93369" w14:textId="77777777" w:rsidR="00CA56D7" w:rsidRPr="00CA56D7" w:rsidRDefault="00CA56D7" w:rsidP="00CA56D7">
            <w:pPr>
              <w:jc w:val="center"/>
              <w:rPr>
                <w:rFonts w:ascii="Arial Narrow" w:eastAsia="Times New Roman" w:hAnsi="Arial Narrow" w:cs="Arial"/>
                <w:color w:val="000000"/>
                <w:sz w:val="16"/>
                <w:szCs w:val="16"/>
                <w:lang w:eastAsia="lv-LV"/>
              </w:rPr>
            </w:pPr>
            <w:r w:rsidRPr="00CA56D7">
              <w:rPr>
                <w:rFonts w:ascii="Arial Narrow" w:eastAsia="Times New Roman" w:hAnsi="Arial Narrow" w:cs="Arial"/>
                <w:color w:val="000000"/>
                <w:sz w:val="16"/>
                <w:szCs w:val="16"/>
                <w:lang w:eastAsia="lv-LV"/>
              </w:rPr>
              <w:t>5</w:t>
            </w:r>
          </w:p>
        </w:tc>
        <w:tc>
          <w:tcPr>
            <w:tcW w:w="992" w:type="dxa"/>
            <w:tcBorders>
              <w:top w:val="nil"/>
              <w:left w:val="nil"/>
              <w:bottom w:val="single" w:sz="4" w:space="0" w:color="000000"/>
              <w:right w:val="single" w:sz="4" w:space="0" w:color="000000"/>
            </w:tcBorders>
            <w:shd w:val="clear" w:color="auto" w:fill="auto"/>
            <w:vAlign w:val="center"/>
            <w:hideMark/>
          </w:tcPr>
          <w:p w14:paraId="6226314A" w14:textId="77777777" w:rsidR="00CA56D7" w:rsidRPr="00CA56D7" w:rsidRDefault="00CA56D7" w:rsidP="00CA56D7">
            <w:pPr>
              <w:jc w:val="center"/>
              <w:rPr>
                <w:rFonts w:ascii="Arial Narrow" w:eastAsia="Times New Roman" w:hAnsi="Arial Narrow" w:cs="Arial"/>
                <w:color w:val="000000"/>
                <w:sz w:val="16"/>
                <w:szCs w:val="16"/>
                <w:lang w:eastAsia="lv-LV"/>
              </w:rPr>
            </w:pPr>
            <w:r w:rsidRPr="00CA56D7">
              <w:rPr>
                <w:rFonts w:ascii="Arial Narrow" w:eastAsia="Times New Roman" w:hAnsi="Arial Narrow" w:cs="Arial"/>
                <w:color w:val="000000"/>
                <w:sz w:val="16"/>
                <w:szCs w:val="16"/>
                <w:lang w:eastAsia="lv-LV"/>
              </w:rPr>
              <w:t>6</w:t>
            </w:r>
          </w:p>
        </w:tc>
        <w:tc>
          <w:tcPr>
            <w:tcW w:w="1134" w:type="dxa"/>
            <w:tcBorders>
              <w:top w:val="nil"/>
              <w:left w:val="nil"/>
              <w:bottom w:val="single" w:sz="4" w:space="0" w:color="000000"/>
              <w:right w:val="single" w:sz="4" w:space="0" w:color="000000"/>
            </w:tcBorders>
            <w:shd w:val="clear" w:color="auto" w:fill="auto"/>
            <w:vAlign w:val="center"/>
            <w:hideMark/>
          </w:tcPr>
          <w:p w14:paraId="6E3DBE2B" w14:textId="77777777" w:rsidR="00CA56D7" w:rsidRPr="00CA56D7" w:rsidRDefault="00CA56D7" w:rsidP="00CA56D7">
            <w:pPr>
              <w:jc w:val="center"/>
              <w:rPr>
                <w:rFonts w:ascii="Arial Narrow" w:eastAsia="Times New Roman" w:hAnsi="Arial Narrow" w:cs="Arial"/>
                <w:color w:val="000000"/>
                <w:sz w:val="16"/>
                <w:szCs w:val="16"/>
                <w:lang w:eastAsia="lv-LV"/>
              </w:rPr>
            </w:pPr>
            <w:r w:rsidRPr="00CA56D7">
              <w:rPr>
                <w:rFonts w:ascii="Arial Narrow" w:eastAsia="Times New Roman" w:hAnsi="Arial Narrow" w:cs="Arial"/>
                <w:color w:val="000000"/>
                <w:sz w:val="16"/>
                <w:szCs w:val="16"/>
                <w:lang w:eastAsia="lv-LV"/>
              </w:rPr>
              <w:t>7</w:t>
            </w:r>
          </w:p>
        </w:tc>
        <w:tc>
          <w:tcPr>
            <w:tcW w:w="967" w:type="dxa"/>
            <w:tcBorders>
              <w:top w:val="nil"/>
              <w:left w:val="nil"/>
              <w:bottom w:val="single" w:sz="4" w:space="0" w:color="000000"/>
              <w:right w:val="double" w:sz="6" w:space="0" w:color="000000"/>
            </w:tcBorders>
            <w:shd w:val="clear" w:color="auto" w:fill="auto"/>
            <w:vAlign w:val="center"/>
            <w:hideMark/>
          </w:tcPr>
          <w:p w14:paraId="51B5731A" w14:textId="77777777" w:rsidR="00CA56D7" w:rsidRPr="00CA56D7" w:rsidRDefault="00CA56D7" w:rsidP="00CA56D7">
            <w:pPr>
              <w:jc w:val="center"/>
              <w:rPr>
                <w:rFonts w:ascii="Arial Narrow" w:eastAsia="Times New Roman" w:hAnsi="Arial Narrow" w:cs="Arial"/>
                <w:color w:val="000000"/>
                <w:sz w:val="16"/>
                <w:szCs w:val="16"/>
                <w:lang w:eastAsia="lv-LV"/>
              </w:rPr>
            </w:pPr>
            <w:r w:rsidRPr="00CA56D7">
              <w:rPr>
                <w:rFonts w:ascii="Arial Narrow" w:eastAsia="Times New Roman" w:hAnsi="Arial Narrow" w:cs="Arial"/>
                <w:color w:val="000000"/>
                <w:sz w:val="16"/>
                <w:szCs w:val="16"/>
                <w:lang w:eastAsia="lv-LV"/>
              </w:rPr>
              <w:t>8</w:t>
            </w:r>
          </w:p>
        </w:tc>
      </w:tr>
      <w:tr w:rsidR="00CA56D7" w:rsidRPr="00CA56D7" w14:paraId="7C0C7265" w14:textId="77777777" w:rsidTr="00655384">
        <w:trPr>
          <w:trHeight w:val="1350"/>
        </w:trPr>
        <w:tc>
          <w:tcPr>
            <w:tcW w:w="1395" w:type="dxa"/>
            <w:tcBorders>
              <w:top w:val="nil"/>
              <w:left w:val="double" w:sz="6" w:space="0" w:color="000000"/>
              <w:bottom w:val="single" w:sz="4" w:space="0" w:color="000000"/>
              <w:right w:val="single" w:sz="4" w:space="0" w:color="000000"/>
            </w:tcBorders>
            <w:shd w:val="clear" w:color="auto" w:fill="auto"/>
            <w:vAlign w:val="center"/>
            <w:hideMark/>
          </w:tcPr>
          <w:p w14:paraId="58DF596E" w14:textId="77777777" w:rsidR="00CA56D7" w:rsidRPr="00CA56D7" w:rsidRDefault="00CA56D7" w:rsidP="00CA56D7">
            <w:pPr>
              <w:jc w:val="center"/>
              <w:rPr>
                <w:rFonts w:ascii="Arial Narrow" w:eastAsia="Times New Roman" w:hAnsi="Arial Narrow" w:cs="Arial"/>
                <w:color w:val="000000"/>
                <w:sz w:val="20"/>
                <w:szCs w:val="20"/>
                <w:lang w:eastAsia="lv-LV"/>
              </w:rPr>
            </w:pPr>
            <w:r w:rsidRPr="00CA56D7">
              <w:rPr>
                <w:rFonts w:ascii="Arial Narrow" w:eastAsia="Times New Roman" w:hAnsi="Arial Narrow" w:cs="Arial"/>
                <w:color w:val="000000"/>
                <w:sz w:val="20"/>
                <w:szCs w:val="20"/>
                <w:lang w:eastAsia="lv-LV"/>
              </w:rPr>
              <w:t>1. Sadales sistēmas pakalpojumu  tarifs lietotājiem, kuru elektroietaišu piederības robeža ir 110/6-20 kV transformatoru 20 kV kopnēs (vilces apakšstacija “Saulkrasti”)</w:t>
            </w:r>
          </w:p>
        </w:tc>
        <w:tc>
          <w:tcPr>
            <w:tcW w:w="1276" w:type="dxa"/>
            <w:tcBorders>
              <w:top w:val="nil"/>
              <w:left w:val="nil"/>
              <w:bottom w:val="single" w:sz="4" w:space="0" w:color="000000"/>
              <w:right w:val="single" w:sz="4" w:space="0" w:color="000000"/>
            </w:tcBorders>
            <w:shd w:val="clear" w:color="auto" w:fill="auto"/>
            <w:noWrap/>
            <w:vAlign w:val="center"/>
            <w:hideMark/>
          </w:tcPr>
          <w:p w14:paraId="0B76ADF3" w14:textId="77777777" w:rsidR="00CA56D7" w:rsidRPr="00CA56D7" w:rsidRDefault="00CA56D7" w:rsidP="00CA56D7">
            <w:pPr>
              <w:jc w:val="center"/>
              <w:rPr>
                <w:rFonts w:ascii="Arial" w:eastAsia="Times New Roman" w:hAnsi="Arial" w:cs="Arial"/>
                <w:color w:val="000000"/>
                <w:sz w:val="22"/>
                <w:lang w:eastAsia="lv-LV"/>
              </w:rPr>
            </w:pPr>
            <w:r w:rsidRPr="00CA56D7">
              <w:rPr>
                <w:rFonts w:ascii="Arial" w:eastAsia="Times New Roman" w:hAnsi="Arial" w:cs="Arial"/>
                <w:color w:val="000000"/>
                <w:sz w:val="22"/>
                <w:lang w:eastAsia="lv-LV"/>
              </w:rPr>
              <w:t>6427,5</w:t>
            </w:r>
          </w:p>
        </w:tc>
        <w:tc>
          <w:tcPr>
            <w:tcW w:w="1134" w:type="dxa"/>
            <w:tcBorders>
              <w:top w:val="nil"/>
              <w:left w:val="nil"/>
              <w:bottom w:val="single" w:sz="4" w:space="0" w:color="000000"/>
              <w:right w:val="single" w:sz="4" w:space="0" w:color="000000"/>
            </w:tcBorders>
            <w:shd w:val="clear" w:color="auto" w:fill="auto"/>
            <w:noWrap/>
            <w:vAlign w:val="center"/>
            <w:hideMark/>
          </w:tcPr>
          <w:p w14:paraId="62FC06B6" w14:textId="77777777" w:rsidR="00CA56D7" w:rsidRPr="00CA56D7" w:rsidRDefault="00CA56D7" w:rsidP="00CA56D7">
            <w:pPr>
              <w:jc w:val="center"/>
              <w:rPr>
                <w:rFonts w:ascii="Arial" w:eastAsia="Times New Roman" w:hAnsi="Arial" w:cs="Arial"/>
                <w:color w:val="000000"/>
                <w:sz w:val="22"/>
                <w:lang w:eastAsia="lv-LV"/>
              </w:rPr>
            </w:pPr>
            <w:r w:rsidRPr="00CA56D7">
              <w:rPr>
                <w:rFonts w:ascii="Arial" w:eastAsia="Times New Roman" w:hAnsi="Arial" w:cs="Arial"/>
                <w:color w:val="000000"/>
                <w:sz w:val="22"/>
                <w:lang w:eastAsia="lv-LV"/>
              </w:rPr>
              <w:t> </w:t>
            </w:r>
          </w:p>
        </w:tc>
        <w:tc>
          <w:tcPr>
            <w:tcW w:w="992" w:type="dxa"/>
            <w:tcBorders>
              <w:top w:val="dotted" w:sz="4" w:space="0" w:color="000000"/>
              <w:left w:val="nil"/>
              <w:bottom w:val="single" w:sz="4" w:space="0" w:color="000000"/>
              <w:right w:val="single" w:sz="4" w:space="0" w:color="000000"/>
            </w:tcBorders>
            <w:shd w:val="clear" w:color="auto" w:fill="auto"/>
            <w:noWrap/>
            <w:vAlign w:val="bottom"/>
            <w:hideMark/>
          </w:tcPr>
          <w:p w14:paraId="799A603C" w14:textId="77777777" w:rsidR="00CA56D7" w:rsidRPr="00CA56D7" w:rsidRDefault="00CA56D7" w:rsidP="00CA56D7">
            <w:pPr>
              <w:jc w:val="right"/>
              <w:rPr>
                <w:rFonts w:ascii="Arial" w:eastAsia="Times New Roman" w:hAnsi="Arial" w:cs="Arial"/>
                <w:color w:val="FFFFFF"/>
                <w:sz w:val="22"/>
                <w:lang w:eastAsia="lv-LV"/>
              </w:rPr>
            </w:pPr>
            <w:r w:rsidRPr="00CA56D7">
              <w:rPr>
                <w:rFonts w:ascii="Arial" w:eastAsia="Times New Roman" w:hAnsi="Arial" w:cs="Arial"/>
                <w:color w:val="FFFFFF"/>
                <w:sz w:val="22"/>
                <w:lang w:eastAsia="lv-LV"/>
              </w:rPr>
              <w:t>2 564 600</w:t>
            </w:r>
          </w:p>
        </w:tc>
        <w:tc>
          <w:tcPr>
            <w:tcW w:w="1134" w:type="dxa"/>
            <w:tcBorders>
              <w:top w:val="nil"/>
              <w:left w:val="nil"/>
              <w:bottom w:val="single" w:sz="4" w:space="0" w:color="000000"/>
              <w:right w:val="single" w:sz="4" w:space="0" w:color="000000"/>
            </w:tcBorders>
            <w:shd w:val="clear" w:color="auto" w:fill="auto"/>
            <w:noWrap/>
            <w:vAlign w:val="center"/>
            <w:hideMark/>
          </w:tcPr>
          <w:p w14:paraId="326AE21F" w14:textId="77777777" w:rsidR="00CA56D7" w:rsidRPr="00CA56D7" w:rsidRDefault="00CA56D7" w:rsidP="00CA56D7">
            <w:pPr>
              <w:jc w:val="center"/>
              <w:rPr>
                <w:rFonts w:ascii="Arial" w:eastAsia="Times New Roman" w:hAnsi="Arial" w:cs="Arial"/>
                <w:color w:val="000000"/>
                <w:sz w:val="22"/>
                <w:lang w:eastAsia="lv-LV"/>
              </w:rPr>
            </w:pPr>
            <w:r w:rsidRPr="00CA56D7">
              <w:rPr>
                <w:rFonts w:ascii="Arial" w:eastAsia="Times New Roman" w:hAnsi="Arial" w:cs="Arial"/>
                <w:color w:val="000000"/>
                <w:sz w:val="22"/>
                <w:lang w:eastAsia="lv-LV"/>
              </w:rPr>
              <w:t>0,009341</w:t>
            </w:r>
          </w:p>
        </w:tc>
        <w:tc>
          <w:tcPr>
            <w:tcW w:w="992" w:type="dxa"/>
            <w:tcBorders>
              <w:top w:val="nil"/>
              <w:left w:val="nil"/>
              <w:bottom w:val="single" w:sz="4" w:space="0" w:color="000000"/>
              <w:right w:val="single" w:sz="4" w:space="0" w:color="000000"/>
            </w:tcBorders>
            <w:shd w:val="clear" w:color="auto" w:fill="auto"/>
            <w:noWrap/>
            <w:vAlign w:val="center"/>
            <w:hideMark/>
          </w:tcPr>
          <w:p w14:paraId="497190B5" w14:textId="77777777" w:rsidR="00CA56D7" w:rsidRPr="00CA56D7" w:rsidRDefault="00CA56D7" w:rsidP="00CA56D7">
            <w:pPr>
              <w:jc w:val="center"/>
              <w:rPr>
                <w:rFonts w:ascii="Arial" w:eastAsia="Times New Roman" w:hAnsi="Arial" w:cs="Arial"/>
                <w:color w:val="000000"/>
                <w:sz w:val="22"/>
                <w:lang w:eastAsia="lv-LV"/>
              </w:rPr>
            </w:pPr>
            <w:r w:rsidRPr="00CA56D7">
              <w:rPr>
                <w:rFonts w:ascii="Arial" w:eastAsia="Times New Roman" w:hAnsi="Arial" w:cs="Arial"/>
                <w:color w:val="000000"/>
                <w:sz w:val="22"/>
                <w:lang w:eastAsia="lv-LV"/>
              </w:rPr>
              <w:t>0,011522</w:t>
            </w:r>
          </w:p>
        </w:tc>
        <w:tc>
          <w:tcPr>
            <w:tcW w:w="1134" w:type="dxa"/>
            <w:tcBorders>
              <w:top w:val="nil"/>
              <w:left w:val="nil"/>
              <w:bottom w:val="single" w:sz="4" w:space="0" w:color="000000"/>
              <w:right w:val="single" w:sz="4" w:space="0" w:color="000000"/>
            </w:tcBorders>
            <w:shd w:val="clear" w:color="auto" w:fill="auto"/>
            <w:vAlign w:val="center"/>
            <w:hideMark/>
          </w:tcPr>
          <w:p w14:paraId="24C95A9B"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 </w:t>
            </w:r>
          </w:p>
        </w:tc>
        <w:tc>
          <w:tcPr>
            <w:tcW w:w="967" w:type="dxa"/>
            <w:tcBorders>
              <w:top w:val="dotted" w:sz="4" w:space="0" w:color="000000"/>
              <w:left w:val="nil"/>
              <w:bottom w:val="single" w:sz="4" w:space="0" w:color="000000"/>
              <w:right w:val="double" w:sz="6" w:space="0" w:color="000000"/>
            </w:tcBorders>
            <w:shd w:val="clear" w:color="auto" w:fill="auto"/>
            <w:vAlign w:val="center"/>
            <w:hideMark/>
          </w:tcPr>
          <w:p w14:paraId="5BA5A088"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23%</w:t>
            </w:r>
          </w:p>
        </w:tc>
      </w:tr>
      <w:tr w:rsidR="00CA56D7" w:rsidRPr="00CA56D7" w14:paraId="0BA6C657" w14:textId="77777777" w:rsidTr="00655384">
        <w:trPr>
          <w:trHeight w:val="285"/>
        </w:trPr>
        <w:tc>
          <w:tcPr>
            <w:tcW w:w="1395" w:type="dxa"/>
            <w:vMerge w:val="restart"/>
            <w:tcBorders>
              <w:top w:val="single" w:sz="4" w:space="0" w:color="000000"/>
              <w:left w:val="double" w:sz="6" w:space="0" w:color="000000"/>
              <w:bottom w:val="dotted" w:sz="4" w:space="0" w:color="000000"/>
              <w:right w:val="single" w:sz="4" w:space="0" w:color="000000"/>
            </w:tcBorders>
            <w:shd w:val="clear" w:color="auto" w:fill="auto"/>
            <w:vAlign w:val="center"/>
            <w:hideMark/>
          </w:tcPr>
          <w:p w14:paraId="048D899A" w14:textId="77777777" w:rsidR="00CA56D7" w:rsidRPr="00CA56D7" w:rsidRDefault="00CA56D7" w:rsidP="00CA56D7">
            <w:pPr>
              <w:jc w:val="left"/>
              <w:rPr>
                <w:rFonts w:ascii="Arial Narrow" w:eastAsia="Times New Roman" w:hAnsi="Arial Narrow" w:cs="Arial"/>
                <w:color w:val="000000"/>
                <w:sz w:val="20"/>
                <w:szCs w:val="20"/>
                <w:lang w:eastAsia="lv-LV"/>
              </w:rPr>
            </w:pPr>
            <w:r w:rsidRPr="00CA56D7">
              <w:rPr>
                <w:rFonts w:ascii="Arial Narrow" w:eastAsia="Times New Roman" w:hAnsi="Arial Narrow" w:cs="Arial"/>
                <w:color w:val="000000"/>
                <w:sz w:val="20"/>
                <w:szCs w:val="20"/>
                <w:lang w:eastAsia="lv-LV"/>
              </w:rPr>
              <w:t xml:space="preserve">2. Sadales sistēmas pakalpojumu tarifs lietotājiem, kuru  elektroietaišu piederības </w:t>
            </w:r>
            <w:r w:rsidRPr="00CA56D7">
              <w:rPr>
                <w:rFonts w:ascii="Arial Narrow" w:eastAsia="Times New Roman" w:hAnsi="Arial Narrow" w:cs="Arial"/>
                <w:color w:val="000000"/>
                <w:sz w:val="20"/>
                <w:szCs w:val="20"/>
                <w:lang w:eastAsia="lv-LV"/>
              </w:rPr>
              <w:lastRenderedPageBreak/>
              <w:t>robeža ir 6-20 kV sadales punktos, 6-20 kV līnijās</w:t>
            </w:r>
          </w:p>
        </w:tc>
        <w:tc>
          <w:tcPr>
            <w:tcW w:w="1276"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14:paraId="44E484A1" w14:textId="77777777" w:rsidR="00CA56D7" w:rsidRPr="00CA56D7" w:rsidRDefault="00CA56D7" w:rsidP="00CA56D7">
            <w:pPr>
              <w:jc w:val="center"/>
              <w:rPr>
                <w:rFonts w:ascii="Arial" w:eastAsia="Times New Roman" w:hAnsi="Arial" w:cs="Arial"/>
                <w:color w:val="000000"/>
                <w:sz w:val="22"/>
                <w:lang w:eastAsia="lv-LV"/>
              </w:rPr>
            </w:pPr>
            <w:r w:rsidRPr="00CA56D7">
              <w:rPr>
                <w:rFonts w:ascii="Arial" w:eastAsia="Times New Roman" w:hAnsi="Arial" w:cs="Arial"/>
                <w:color w:val="000000"/>
                <w:sz w:val="22"/>
                <w:lang w:eastAsia="lv-LV"/>
              </w:rPr>
              <w:lastRenderedPageBreak/>
              <w:t>400</w:t>
            </w:r>
          </w:p>
        </w:tc>
        <w:tc>
          <w:tcPr>
            <w:tcW w:w="1134"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0DC0EA5C"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kW</w:t>
            </w:r>
          </w:p>
        </w:tc>
        <w:tc>
          <w:tcPr>
            <w:tcW w:w="992" w:type="dxa"/>
            <w:tcBorders>
              <w:top w:val="single" w:sz="4" w:space="0" w:color="000000"/>
              <w:left w:val="nil"/>
              <w:bottom w:val="dotted" w:sz="4" w:space="0" w:color="000000"/>
              <w:right w:val="single" w:sz="4" w:space="0" w:color="000000"/>
            </w:tcBorders>
            <w:shd w:val="clear" w:color="auto" w:fill="auto"/>
            <w:noWrap/>
            <w:vAlign w:val="bottom"/>
            <w:hideMark/>
          </w:tcPr>
          <w:p w14:paraId="3CEB850B"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0</w:t>
            </w:r>
          </w:p>
        </w:tc>
        <w:tc>
          <w:tcPr>
            <w:tcW w:w="1134"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325BC49F"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0,030824</w:t>
            </w:r>
          </w:p>
        </w:tc>
        <w:tc>
          <w:tcPr>
            <w:tcW w:w="992"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14:paraId="0592E87F"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0,014851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E16B7"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0,37</w:t>
            </w:r>
          </w:p>
        </w:tc>
        <w:tc>
          <w:tcPr>
            <w:tcW w:w="967" w:type="dxa"/>
            <w:tcBorders>
              <w:top w:val="single" w:sz="4" w:space="0" w:color="000000"/>
              <w:left w:val="nil"/>
              <w:bottom w:val="dotted" w:sz="4" w:space="0" w:color="000000"/>
              <w:right w:val="double" w:sz="6" w:space="0" w:color="000000"/>
            </w:tcBorders>
            <w:shd w:val="clear" w:color="auto" w:fill="auto"/>
            <w:vAlign w:val="center"/>
            <w:hideMark/>
          </w:tcPr>
          <w:p w14:paraId="1BEA6EBB"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148 EUR</w:t>
            </w:r>
          </w:p>
        </w:tc>
      </w:tr>
      <w:tr w:rsidR="00CA56D7" w:rsidRPr="00CA56D7" w14:paraId="1AEC2677"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1813B93F"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47B65DDC"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3A3B8EB3"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19DE3156"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2 200</w:t>
            </w:r>
          </w:p>
        </w:tc>
        <w:tc>
          <w:tcPr>
            <w:tcW w:w="1134" w:type="dxa"/>
            <w:vMerge/>
            <w:tcBorders>
              <w:top w:val="single" w:sz="4" w:space="0" w:color="000000"/>
              <w:left w:val="single" w:sz="4" w:space="0" w:color="000000"/>
              <w:bottom w:val="nil"/>
              <w:right w:val="single" w:sz="4" w:space="0" w:color="000000"/>
            </w:tcBorders>
            <w:vAlign w:val="center"/>
            <w:hideMark/>
          </w:tcPr>
          <w:p w14:paraId="7C176E94"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29FA28C4"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CFAAA8F"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376E3B77"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166%</w:t>
            </w:r>
          </w:p>
        </w:tc>
      </w:tr>
      <w:tr w:rsidR="00CA56D7" w:rsidRPr="00CA56D7" w14:paraId="0E19F8D0"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708C5BB9"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53A7C6C3"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6680F8BC"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7CD33297"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4 400</w:t>
            </w:r>
          </w:p>
        </w:tc>
        <w:tc>
          <w:tcPr>
            <w:tcW w:w="1134" w:type="dxa"/>
            <w:vMerge/>
            <w:tcBorders>
              <w:top w:val="single" w:sz="4" w:space="0" w:color="000000"/>
              <w:left w:val="single" w:sz="4" w:space="0" w:color="000000"/>
              <w:bottom w:val="nil"/>
              <w:right w:val="single" w:sz="4" w:space="0" w:color="000000"/>
            </w:tcBorders>
            <w:vAlign w:val="center"/>
            <w:hideMark/>
          </w:tcPr>
          <w:p w14:paraId="4D48B315"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790AF994"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5159183"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177C140D"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57%</w:t>
            </w:r>
          </w:p>
        </w:tc>
      </w:tr>
      <w:tr w:rsidR="00CA56D7" w:rsidRPr="00CA56D7" w14:paraId="55B1B86F"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156AFEFC"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44C4BE99"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4AD0BE23"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451B144A"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19 200</w:t>
            </w:r>
          </w:p>
        </w:tc>
        <w:tc>
          <w:tcPr>
            <w:tcW w:w="1134" w:type="dxa"/>
            <w:vMerge/>
            <w:tcBorders>
              <w:top w:val="single" w:sz="4" w:space="0" w:color="000000"/>
              <w:left w:val="single" w:sz="4" w:space="0" w:color="000000"/>
              <w:bottom w:val="nil"/>
              <w:right w:val="single" w:sz="4" w:space="0" w:color="000000"/>
            </w:tcBorders>
            <w:vAlign w:val="center"/>
            <w:hideMark/>
          </w:tcPr>
          <w:p w14:paraId="3AE630FA"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2BF1B559"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2C6D898"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51702113"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-27%</w:t>
            </w:r>
          </w:p>
        </w:tc>
      </w:tr>
      <w:tr w:rsidR="00CA56D7" w:rsidRPr="00CA56D7" w14:paraId="6F7C9B98" w14:textId="77777777" w:rsidTr="00655384">
        <w:trPr>
          <w:trHeight w:val="280"/>
        </w:trPr>
        <w:tc>
          <w:tcPr>
            <w:tcW w:w="1395" w:type="dxa"/>
            <w:vMerge/>
            <w:tcBorders>
              <w:top w:val="single" w:sz="4" w:space="0" w:color="000000"/>
              <w:left w:val="double" w:sz="6" w:space="0" w:color="000000"/>
              <w:bottom w:val="single" w:sz="4" w:space="0" w:color="000000"/>
              <w:right w:val="single" w:sz="4" w:space="0" w:color="000000"/>
            </w:tcBorders>
            <w:vAlign w:val="center"/>
            <w:hideMark/>
          </w:tcPr>
          <w:p w14:paraId="1DFD4EB2"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9C0CA60"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42071D6"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single" w:sz="4" w:space="0" w:color="000000"/>
              <w:right w:val="single" w:sz="4" w:space="0" w:color="000000"/>
            </w:tcBorders>
            <w:shd w:val="clear" w:color="auto" w:fill="auto"/>
            <w:noWrap/>
            <w:vAlign w:val="bottom"/>
            <w:hideMark/>
          </w:tcPr>
          <w:p w14:paraId="3BBBD19E"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33 900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F65810D"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414A3B7"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6D99513"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single" w:sz="4" w:space="0" w:color="000000"/>
              <w:right w:val="double" w:sz="6" w:space="0" w:color="000000"/>
            </w:tcBorders>
            <w:shd w:val="clear" w:color="auto" w:fill="auto"/>
            <w:vAlign w:val="center"/>
            <w:hideMark/>
          </w:tcPr>
          <w:p w14:paraId="6438BB76"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-38%</w:t>
            </w:r>
          </w:p>
        </w:tc>
      </w:tr>
      <w:tr w:rsidR="00CA56D7" w:rsidRPr="00CA56D7" w14:paraId="21D284C7" w14:textId="77777777" w:rsidTr="00655384">
        <w:trPr>
          <w:trHeight w:val="280"/>
        </w:trPr>
        <w:tc>
          <w:tcPr>
            <w:tcW w:w="1395" w:type="dxa"/>
            <w:vMerge w:val="restart"/>
            <w:tcBorders>
              <w:top w:val="single" w:sz="4" w:space="0" w:color="000000"/>
              <w:left w:val="double" w:sz="6" w:space="0" w:color="000000"/>
              <w:bottom w:val="dotted" w:sz="4" w:space="0" w:color="000000"/>
              <w:right w:val="single" w:sz="4" w:space="0" w:color="000000"/>
            </w:tcBorders>
            <w:shd w:val="clear" w:color="auto" w:fill="auto"/>
            <w:vAlign w:val="center"/>
            <w:hideMark/>
          </w:tcPr>
          <w:p w14:paraId="1A6A0E7B" w14:textId="77777777" w:rsidR="00CA56D7" w:rsidRPr="00CA56D7" w:rsidRDefault="00CA56D7" w:rsidP="00CA56D7">
            <w:pPr>
              <w:jc w:val="left"/>
              <w:rPr>
                <w:rFonts w:ascii="Arial Narrow" w:eastAsia="Times New Roman" w:hAnsi="Arial Narrow" w:cs="Arial"/>
                <w:color w:val="000000"/>
                <w:sz w:val="20"/>
                <w:szCs w:val="20"/>
                <w:lang w:eastAsia="lv-LV"/>
              </w:rPr>
            </w:pPr>
            <w:r w:rsidRPr="00CA56D7">
              <w:rPr>
                <w:rFonts w:ascii="Arial Narrow" w:eastAsia="Times New Roman" w:hAnsi="Arial Narrow" w:cs="Arial"/>
                <w:color w:val="000000"/>
                <w:sz w:val="20"/>
                <w:szCs w:val="20"/>
                <w:lang w:eastAsia="lv-LV"/>
              </w:rPr>
              <w:t>3. Sadales sistēmas  pakalpojumu tarifs lietotājiem, kuru elektroietaišu  piederības robeža ir 6-20/0,4 kV transformatoru 0,4 kV kopnēs</w:t>
            </w:r>
          </w:p>
        </w:tc>
        <w:tc>
          <w:tcPr>
            <w:tcW w:w="1276"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14:paraId="71BA4CB0" w14:textId="77777777" w:rsidR="00CA56D7" w:rsidRPr="00CA56D7" w:rsidRDefault="00CA56D7" w:rsidP="00CA56D7">
            <w:pPr>
              <w:jc w:val="center"/>
              <w:rPr>
                <w:rFonts w:ascii="Arial" w:eastAsia="Times New Roman" w:hAnsi="Arial" w:cs="Arial"/>
                <w:color w:val="000000"/>
                <w:sz w:val="22"/>
                <w:lang w:eastAsia="lv-LV"/>
              </w:rPr>
            </w:pPr>
            <w:r w:rsidRPr="00CA56D7">
              <w:rPr>
                <w:rFonts w:ascii="Arial" w:eastAsia="Times New Roman" w:hAnsi="Arial" w:cs="Arial"/>
                <w:color w:val="000000"/>
                <w:sz w:val="22"/>
                <w:lang w:eastAsia="lv-LV"/>
              </w:rPr>
              <w:t>200</w:t>
            </w:r>
          </w:p>
        </w:tc>
        <w:tc>
          <w:tcPr>
            <w:tcW w:w="1134"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131CEB22"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A</w:t>
            </w:r>
          </w:p>
        </w:tc>
        <w:tc>
          <w:tcPr>
            <w:tcW w:w="992" w:type="dxa"/>
            <w:tcBorders>
              <w:top w:val="single" w:sz="4" w:space="0" w:color="000000"/>
              <w:left w:val="nil"/>
              <w:bottom w:val="dotted" w:sz="4" w:space="0" w:color="000000"/>
              <w:right w:val="single" w:sz="4" w:space="0" w:color="000000"/>
            </w:tcBorders>
            <w:shd w:val="clear" w:color="auto" w:fill="auto"/>
            <w:noWrap/>
            <w:vAlign w:val="bottom"/>
            <w:hideMark/>
          </w:tcPr>
          <w:p w14:paraId="5775401B"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0</w:t>
            </w:r>
          </w:p>
        </w:tc>
        <w:tc>
          <w:tcPr>
            <w:tcW w:w="1134"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482933F5"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0,041185</w:t>
            </w:r>
          </w:p>
        </w:tc>
        <w:tc>
          <w:tcPr>
            <w:tcW w:w="992"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14:paraId="6FBB2A46"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0,030503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51AB53"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0,87</w:t>
            </w:r>
          </w:p>
        </w:tc>
        <w:tc>
          <w:tcPr>
            <w:tcW w:w="967" w:type="dxa"/>
            <w:tcBorders>
              <w:top w:val="single" w:sz="4" w:space="0" w:color="000000"/>
              <w:left w:val="nil"/>
              <w:bottom w:val="dotted" w:sz="4" w:space="0" w:color="000000"/>
              <w:right w:val="double" w:sz="6" w:space="0" w:color="000000"/>
            </w:tcBorders>
            <w:shd w:val="clear" w:color="auto" w:fill="auto"/>
            <w:vAlign w:val="center"/>
            <w:hideMark/>
          </w:tcPr>
          <w:p w14:paraId="2A267E93"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173 EUR</w:t>
            </w:r>
          </w:p>
        </w:tc>
      </w:tr>
      <w:tr w:rsidR="00CA56D7" w:rsidRPr="00CA56D7" w14:paraId="491603AA"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243C82B0"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406E5CD9"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64ECD289"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6C55CC93"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2 900</w:t>
            </w:r>
          </w:p>
        </w:tc>
        <w:tc>
          <w:tcPr>
            <w:tcW w:w="1134" w:type="dxa"/>
            <w:vMerge/>
            <w:tcBorders>
              <w:top w:val="single" w:sz="4" w:space="0" w:color="000000"/>
              <w:left w:val="single" w:sz="4" w:space="0" w:color="000000"/>
              <w:bottom w:val="nil"/>
              <w:right w:val="single" w:sz="4" w:space="0" w:color="000000"/>
            </w:tcBorders>
            <w:vAlign w:val="center"/>
            <w:hideMark/>
          </w:tcPr>
          <w:p w14:paraId="32961871"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43347666"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nil"/>
              <w:left w:val="single" w:sz="4" w:space="0" w:color="000000"/>
              <w:bottom w:val="single" w:sz="4" w:space="0" w:color="000000"/>
              <w:right w:val="single" w:sz="4" w:space="0" w:color="000000"/>
            </w:tcBorders>
            <w:vAlign w:val="center"/>
            <w:hideMark/>
          </w:tcPr>
          <w:p w14:paraId="4EAF0E9B"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2CD02B33"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119%</w:t>
            </w:r>
          </w:p>
        </w:tc>
      </w:tr>
      <w:tr w:rsidR="00CA56D7" w:rsidRPr="00CA56D7" w14:paraId="1321BEEA"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6C977D2D"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0AAA212F"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3BC7C90A"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7A784A9D"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5 700</w:t>
            </w:r>
          </w:p>
        </w:tc>
        <w:tc>
          <w:tcPr>
            <w:tcW w:w="1134" w:type="dxa"/>
            <w:vMerge/>
            <w:tcBorders>
              <w:top w:val="single" w:sz="4" w:space="0" w:color="000000"/>
              <w:left w:val="single" w:sz="4" w:space="0" w:color="000000"/>
              <w:bottom w:val="nil"/>
              <w:right w:val="single" w:sz="4" w:space="0" w:color="000000"/>
            </w:tcBorders>
            <w:vAlign w:val="center"/>
            <w:hideMark/>
          </w:tcPr>
          <w:p w14:paraId="73D35BE6"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0E7971EE"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nil"/>
              <w:left w:val="single" w:sz="4" w:space="0" w:color="000000"/>
              <w:bottom w:val="single" w:sz="4" w:space="0" w:color="000000"/>
              <w:right w:val="single" w:sz="4" w:space="0" w:color="000000"/>
            </w:tcBorders>
            <w:vAlign w:val="center"/>
            <w:hideMark/>
          </w:tcPr>
          <w:p w14:paraId="6414762D"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00067777"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48%</w:t>
            </w:r>
          </w:p>
        </w:tc>
      </w:tr>
      <w:tr w:rsidR="00CA56D7" w:rsidRPr="00CA56D7" w14:paraId="1CCFE849"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10A5D0B5"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44446BA4"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0FE24998"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772DF367"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75 200</w:t>
            </w:r>
          </w:p>
        </w:tc>
        <w:tc>
          <w:tcPr>
            <w:tcW w:w="1134" w:type="dxa"/>
            <w:vMerge/>
            <w:tcBorders>
              <w:top w:val="single" w:sz="4" w:space="0" w:color="000000"/>
              <w:left w:val="single" w:sz="4" w:space="0" w:color="000000"/>
              <w:bottom w:val="nil"/>
              <w:right w:val="single" w:sz="4" w:space="0" w:color="000000"/>
            </w:tcBorders>
            <w:vAlign w:val="center"/>
            <w:hideMark/>
          </w:tcPr>
          <w:p w14:paraId="38DFB68C"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796AE3B6"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nil"/>
              <w:left w:val="single" w:sz="4" w:space="0" w:color="000000"/>
              <w:bottom w:val="single" w:sz="4" w:space="0" w:color="000000"/>
              <w:right w:val="single" w:sz="4" w:space="0" w:color="000000"/>
            </w:tcBorders>
            <w:vAlign w:val="center"/>
            <w:hideMark/>
          </w:tcPr>
          <w:p w14:paraId="14AEA891"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0B858870"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-20%</w:t>
            </w:r>
          </w:p>
        </w:tc>
      </w:tr>
      <w:tr w:rsidR="00CA56D7" w:rsidRPr="00CA56D7" w14:paraId="2E1313A1"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6F0F09D0"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2EF873D7"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0C80BB93"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41A8C048"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144 600</w:t>
            </w:r>
          </w:p>
        </w:tc>
        <w:tc>
          <w:tcPr>
            <w:tcW w:w="1134" w:type="dxa"/>
            <w:vMerge/>
            <w:tcBorders>
              <w:top w:val="single" w:sz="4" w:space="0" w:color="000000"/>
              <w:left w:val="single" w:sz="4" w:space="0" w:color="000000"/>
              <w:bottom w:val="nil"/>
              <w:right w:val="single" w:sz="4" w:space="0" w:color="000000"/>
            </w:tcBorders>
            <w:vAlign w:val="center"/>
            <w:hideMark/>
          </w:tcPr>
          <w:p w14:paraId="01E567BF"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58C9B8D7"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nil"/>
              <w:left w:val="single" w:sz="4" w:space="0" w:color="000000"/>
              <w:bottom w:val="single" w:sz="4" w:space="0" w:color="000000"/>
              <w:right w:val="single" w:sz="4" w:space="0" w:color="000000"/>
            </w:tcBorders>
            <w:vAlign w:val="center"/>
            <w:hideMark/>
          </w:tcPr>
          <w:p w14:paraId="4DC501A0"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19DC28B9"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-23%</w:t>
            </w:r>
          </w:p>
        </w:tc>
      </w:tr>
      <w:tr w:rsidR="00CA56D7" w:rsidRPr="00CA56D7" w14:paraId="22926A67" w14:textId="77777777" w:rsidTr="00655384">
        <w:trPr>
          <w:trHeight w:val="280"/>
        </w:trPr>
        <w:tc>
          <w:tcPr>
            <w:tcW w:w="1395" w:type="dxa"/>
            <w:vMerge w:val="restart"/>
            <w:tcBorders>
              <w:top w:val="single" w:sz="4" w:space="0" w:color="000000"/>
              <w:left w:val="double" w:sz="6" w:space="0" w:color="000000"/>
              <w:bottom w:val="dotted" w:sz="4" w:space="0" w:color="000000"/>
              <w:right w:val="single" w:sz="4" w:space="0" w:color="000000"/>
            </w:tcBorders>
            <w:shd w:val="clear" w:color="auto" w:fill="auto"/>
            <w:vAlign w:val="center"/>
            <w:hideMark/>
          </w:tcPr>
          <w:p w14:paraId="2CE4D9D6" w14:textId="77777777" w:rsidR="00CA56D7" w:rsidRPr="00CA56D7" w:rsidRDefault="00CA56D7" w:rsidP="00CA56D7">
            <w:pPr>
              <w:jc w:val="left"/>
              <w:rPr>
                <w:rFonts w:ascii="Arial Narrow" w:eastAsia="Times New Roman" w:hAnsi="Arial Narrow" w:cs="Arial"/>
                <w:color w:val="000000"/>
                <w:sz w:val="20"/>
                <w:szCs w:val="20"/>
                <w:lang w:eastAsia="lv-LV"/>
              </w:rPr>
            </w:pPr>
            <w:r w:rsidRPr="00CA56D7">
              <w:rPr>
                <w:rFonts w:ascii="Arial Narrow" w:eastAsia="Times New Roman" w:hAnsi="Arial Narrow" w:cs="Arial"/>
                <w:color w:val="000000"/>
                <w:sz w:val="20"/>
                <w:szCs w:val="20"/>
                <w:lang w:eastAsia="lv-LV"/>
              </w:rPr>
              <w:t>4. Sadales sistēmas pakalpojumu tarifs lietotājiem, kuru elektroietaišu piederības robeža ir zemsprieguma 0,4 kV līnijās, 1F</w:t>
            </w:r>
          </w:p>
        </w:tc>
        <w:tc>
          <w:tcPr>
            <w:tcW w:w="1276"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14:paraId="6285B21E" w14:textId="77777777" w:rsidR="00CA56D7" w:rsidRPr="00CA56D7" w:rsidRDefault="00CA56D7" w:rsidP="00CA56D7">
            <w:pPr>
              <w:jc w:val="center"/>
              <w:rPr>
                <w:rFonts w:ascii="Arial" w:eastAsia="Times New Roman" w:hAnsi="Arial" w:cs="Arial"/>
                <w:color w:val="000000"/>
                <w:sz w:val="22"/>
                <w:lang w:eastAsia="lv-LV"/>
              </w:rPr>
            </w:pPr>
            <w:r w:rsidRPr="00CA56D7">
              <w:rPr>
                <w:rFonts w:ascii="Arial" w:eastAsia="Times New Roman" w:hAnsi="Arial" w:cs="Arial"/>
                <w:color w:val="000000"/>
                <w:sz w:val="22"/>
                <w:lang w:eastAsia="lv-LV"/>
              </w:rPr>
              <w:t>16</w:t>
            </w:r>
          </w:p>
        </w:tc>
        <w:tc>
          <w:tcPr>
            <w:tcW w:w="1134"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3E0F1EC3"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A</w:t>
            </w:r>
          </w:p>
        </w:tc>
        <w:tc>
          <w:tcPr>
            <w:tcW w:w="992" w:type="dxa"/>
            <w:tcBorders>
              <w:top w:val="single" w:sz="4" w:space="0" w:color="000000"/>
              <w:left w:val="nil"/>
              <w:bottom w:val="dotted" w:sz="4" w:space="0" w:color="000000"/>
              <w:right w:val="single" w:sz="4" w:space="0" w:color="000000"/>
            </w:tcBorders>
            <w:shd w:val="clear" w:color="auto" w:fill="auto"/>
            <w:noWrap/>
            <w:vAlign w:val="bottom"/>
            <w:hideMark/>
          </w:tcPr>
          <w:p w14:paraId="651BEDF6"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0</w:t>
            </w:r>
          </w:p>
        </w:tc>
        <w:tc>
          <w:tcPr>
            <w:tcW w:w="1134"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7B84EF60"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0,073934</w:t>
            </w:r>
          </w:p>
        </w:tc>
        <w:tc>
          <w:tcPr>
            <w:tcW w:w="992"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14:paraId="35E01D21"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0,056009</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CA3A26"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0,41</w:t>
            </w:r>
          </w:p>
        </w:tc>
        <w:tc>
          <w:tcPr>
            <w:tcW w:w="967" w:type="dxa"/>
            <w:tcBorders>
              <w:top w:val="single" w:sz="4" w:space="0" w:color="000000"/>
              <w:left w:val="nil"/>
              <w:bottom w:val="dotted" w:sz="4" w:space="0" w:color="000000"/>
              <w:right w:val="double" w:sz="6" w:space="0" w:color="000000"/>
            </w:tcBorders>
            <w:shd w:val="clear" w:color="auto" w:fill="auto"/>
            <w:vAlign w:val="center"/>
            <w:hideMark/>
          </w:tcPr>
          <w:p w14:paraId="7625C8B9"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6,51 EUR</w:t>
            </w:r>
          </w:p>
        </w:tc>
      </w:tr>
      <w:tr w:rsidR="00CA56D7" w:rsidRPr="00CA56D7" w14:paraId="487C3EB3"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6608BB5F"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78091010"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0EBA2CE0"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175858FB"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80</w:t>
            </w:r>
          </w:p>
        </w:tc>
        <w:tc>
          <w:tcPr>
            <w:tcW w:w="1134" w:type="dxa"/>
            <w:vMerge/>
            <w:tcBorders>
              <w:top w:val="single" w:sz="4" w:space="0" w:color="000000"/>
              <w:left w:val="single" w:sz="4" w:space="0" w:color="000000"/>
              <w:bottom w:val="nil"/>
              <w:right w:val="single" w:sz="4" w:space="0" w:color="000000"/>
            </w:tcBorders>
            <w:vAlign w:val="center"/>
            <w:hideMark/>
          </w:tcPr>
          <w:p w14:paraId="335A533A"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2B379AD5"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nil"/>
              <w:left w:val="single" w:sz="4" w:space="0" w:color="000000"/>
              <w:bottom w:val="single" w:sz="4" w:space="0" w:color="000000"/>
              <w:right w:val="single" w:sz="4" w:space="0" w:color="000000"/>
            </w:tcBorders>
            <w:vAlign w:val="center"/>
            <w:hideMark/>
          </w:tcPr>
          <w:p w14:paraId="0F3BB127"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0007DB7F"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86%</w:t>
            </w:r>
          </w:p>
        </w:tc>
      </w:tr>
      <w:tr w:rsidR="00CA56D7" w:rsidRPr="00CA56D7" w14:paraId="19883C08"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617E2F45"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40E8542A"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2BF1B0E4"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721BE84D"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150</w:t>
            </w:r>
          </w:p>
        </w:tc>
        <w:tc>
          <w:tcPr>
            <w:tcW w:w="1134" w:type="dxa"/>
            <w:vMerge/>
            <w:tcBorders>
              <w:top w:val="single" w:sz="4" w:space="0" w:color="000000"/>
              <w:left w:val="single" w:sz="4" w:space="0" w:color="000000"/>
              <w:bottom w:val="nil"/>
              <w:right w:val="single" w:sz="4" w:space="0" w:color="000000"/>
            </w:tcBorders>
            <w:vAlign w:val="center"/>
            <w:hideMark/>
          </w:tcPr>
          <w:p w14:paraId="33ABCB22"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609CA640"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nil"/>
              <w:left w:val="single" w:sz="4" w:space="0" w:color="000000"/>
              <w:bottom w:val="single" w:sz="4" w:space="0" w:color="000000"/>
              <w:right w:val="single" w:sz="4" w:space="0" w:color="000000"/>
            </w:tcBorders>
            <w:vAlign w:val="center"/>
            <w:hideMark/>
          </w:tcPr>
          <w:p w14:paraId="74A2C95A"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24137550"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34%</w:t>
            </w:r>
          </w:p>
        </w:tc>
      </w:tr>
      <w:tr w:rsidR="00CA56D7" w:rsidRPr="00CA56D7" w14:paraId="21AA479E"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1A73BAB4"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64CE3CEB"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5703DFAF"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4AA90E05"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1 470</w:t>
            </w:r>
          </w:p>
        </w:tc>
        <w:tc>
          <w:tcPr>
            <w:tcW w:w="1134" w:type="dxa"/>
            <w:vMerge/>
            <w:tcBorders>
              <w:top w:val="single" w:sz="4" w:space="0" w:color="000000"/>
              <w:left w:val="single" w:sz="4" w:space="0" w:color="000000"/>
              <w:bottom w:val="nil"/>
              <w:right w:val="single" w:sz="4" w:space="0" w:color="000000"/>
            </w:tcBorders>
            <w:vAlign w:val="center"/>
            <w:hideMark/>
          </w:tcPr>
          <w:p w14:paraId="528BC0AA"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566B1458"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nil"/>
              <w:left w:val="single" w:sz="4" w:space="0" w:color="000000"/>
              <w:bottom w:val="single" w:sz="4" w:space="0" w:color="000000"/>
              <w:right w:val="single" w:sz="4" w:space="0" w:color="000000"/>
            </w:tcBorders>
            <w:vAlign w:val="center"/>
            <w:hideMark/>
          </w:tcPr>
          <w:p w14:paraId="64F864F5"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284607E9"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-18%</w:t>
            </w:r>
          </w:p>
        </w:tc>
      </w:tr>
      <w:tr w:rsidR="00CA56D7" w:rsidRPr="00CA56D7" w14:paraId="740C2948"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1C8A474D"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7FDE12B6"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0580C3BC"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37E1C143"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2 780</w:t>
            </w:r>
          </w:p>
        </w:tc>
        <w:tc>
          <w:tcPr>
            <w:tcW w:w="1134" w:type="dxa"/>
            <w:vMerge/>
            <w:tcBorders>
              <w:top w:val="single" w:sz="4" w:space="0" w:color="000000"/>
              <w:left w:val="single" w:sz="4" w:space="0" w:color="000000"/>
              <w:bottom w:val="nil"/>
              <w:right w:val="single" w:sz="4" w:space="0" w:color="000000"/>
            </w:tcBorders>
            <w:vAlign w:val="center"/>
            <w:hideMark/>
          </w:tcPr>
          <w:p w14:paraId="6AC0097E"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64392507"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nil"/>
              <w:left w:val="single" w:sz="4" w:space="0" w:color="000000"/>
              <w:bottom w:val="single" w:sz="4" w:space="0" w:color="000000"/>
              <w:right w:val="single" w:sz="4" w:space="0" w:color="000000"/>
            </w:tcBorders>
            <w:vAlign w:val="center"/>
            <w:hideMark/>
          </w:tcPr>
          <w:p w14:paraId="7F4E59DA"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7BD9F801"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-21%</w:t>
            </w:r>
          </w:p>
        </w:tc>
      </w:tr>
      <w:tr w:rsidR="00CA56D7" w:rsidRPr="00CA56D7" w14:paraId="1ECFB52F" w14:textId="77777777" w:rsidTr="00655384">
        <w:trPr>
          <w:trHeight w:val="280"/>
        </w:trPr>
        <w:tc>
          <w:tcPr>
            <w:tcW w:w="1395" w:type="dxa"/>
            <w:vMerge w:val="restart"/>
            <w:tcBorders>
              <w:top w:val="single" w:sz="4" w:space="0" w:color="000000"/>
              <w:left w:val="double" w:sz="6" w:space="0" w:color="000000"/>
              <w:bottom w:val="dotted" w:sz="4" w:space="0" w:color="000000"/>
              <w:right w:val="single" w:sz="4" w:space="0" w:color="000000"/>
            </w:tcBorders>
            <w:shd w:val="clear" w:color="auto" w:fill="auto"/>
            <w:vAlign w:val="center"/>
            <w:hideMark/>
          </w:tcPr>
          <w:p w14:paraId="1198B727" w14:textId="77777777" w:rsidR="00CA56D7" w:rsidRPr="00CA56D7" w:rsidRDefault="00CA56D7" w:rsidP="00CA56D7">
            <w:pPr>
              <w:jc w:val="left"/>
              <w:rPr>
                <w:rFonts w:ascii="Arial Narrow" w:eastAsia="Times New Roman" w:hAnsi="Arial Narrow" w:cs="Arial"/>
                <w:color w:val="000000"/>
                <w:sz w:val="20"/>
                <w:szCs w:val="20"/>
                <w:lang w:eastAsia="lv-LV"/>
              </w:rPr>
            </w:pPr>
            <w:r w:rsidRPr="00CA56D7">
              <w:rPr>
                <w:rFonts w:ascii="Arial Narrow" w:eastAsia="Times New Roman" w:hAnsi="Arial Narrow" w:cs="Arial"/>
                <w:color w:val="000000"/>
                <w:sz w:val="20"/>
                <w:szCs w:val="20"/>
                <w:lang w:eastAsia="lv-LV"/>
              </w:rPr>
              <w:t>5. Sadales sistēmas pakalpojumu tarifs lietotājiem, kuru elektroietaišu piederības robeža ir zemsprieguma 0,4 kV līnijās, 3F</w:t>
            </w:r>
          </w:p>
        </w:tc>
        <w:tc>
          <w:tcPr>
            <w:tcW w:w="1276"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14:paraId="2AB720B8" w14:textId="77777777" w:rsidR="00CA56D7" w:rsidRPr="00CA56D7" w:rsidRDefault="00CA56D7" w:rsidP="00CA56D7">
            <w:pPr>
              <w:jc w:val="center"/>
              <w:rPr>
                <w:rFonts w:ascii="Arial" w:eastAsia="Times New Roman" w:hAnsi="Arial" w:cs="Arial"/>
                <w:color w:val="000000"/>
                <w:sz w:val="22"/>
                <w:lang w:eastAsia="lv-LV"/>
              </w:rPr>
            </w:pPr>
            <w:r w:rsidRPr="00CA56D7">
              <w:rPr>
                <w:rFonts w:ascii="Arial" w:eastAsia="Times New Roman" w:hAnsi="Arial" w:cs="Arial"/>
                <w:color w:val="000000"/>
                <w:sz w:val="22"/>
                <w:lang w:eastAsia="lv-LV"/>
              </w:rPr>
              <w:t>16</w:t>
            </w:r>
          </w:p>
        </w:tc>
        <w:tc>
          <w:tcPr>
            <w:tcW w:w="1134"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4E6F0C9B"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A</w:t>
            </w:r>
          </w:p>
        </w:tc>
        <w:tc>
          <w:tcPr>
            <w:tcW w:w="992" w:type="dxa"/>
            <w:tcBorders>
              <w:top w:val="single" w:sz="4" w:space="0" w:color="000000"/>
              <w:left w:val="nil"/>
              <w:bottom w:val="dotted" w:sz="4" w:space="0" w:color="000000"/>
              <w:right w:val="single" w:sz="4" w:space="0" w:color="000000"/>
            </w:tcBorders>
            <w:shd w:val="clear" w:color="auto" w:fill="auto"/>
            <w:noWrap/>
            <w:vAlign w:val="bottom"/>
            <w:hideMark/>
          </w:tcPr>
          <w:p w14:paraId="15438761"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0</w:t>
            </w:r>
          </w:p>
        </w:tc>
        <w:tc>
          <w:tcPr>
            <w:tcW w:w="1134"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5AAD4B62"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0,073934</w:t>
            </w:r>
          </w:p>
        </w:tc>
        <w:tc>
          <w:tcPr>
            <w:tcW w:w="992"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14:paraId="4531E2D1"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0,056009</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5D73B34"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0,87</w:t>
            </w:r>
          </w:p>
        </w:tc>
        <w:tc>
          <w:tcPr>
            <w:tcW w:w="967" w:type="dxa"/>
            <w:tcBorders>
              <w:top w:val="single" w:sz="4" w:space="0" w:color="000000"/>
              <w:left w:val="nil"/>
              <w:bottom w:val="dotted" w:sz="4" w:space="0" w:color="000000"/>
              <w:right w:val="double" w:sz="6" w:space="0" w:color="000000"/>
            </w:tcBorders>
            <w:shd w:val="clear" w:color="auto" w:fill="auto"/>
            <w:vAlign w:val="center"/>
            <w:hideMark/>
          </w:tcPr>
          <w:p w14:paraId="4D06F41C"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13,84 EUR</w:t>
            </w:r>
          </w:p>
        </w:tc>
      </w:tr>
      <w:tr w:rsidR="00CA56D7" w:rsidRPr="00CA56D7" w14:paraId="3A0E6DDA"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21668BD7"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760F80AF"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4BC8A1A6"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6AEE42AE"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80</w:t>
            </w:r>
          </w:p>
        </w:tc>
        <w:tc>
          <w:tcPr>
            <w:tcW w:w="1134" w:type="dxa"/>
            <w:vMerge/>
            <w:tcBorders>
              <w:top w:val="single" w:sz="4" w:space="0" w:color="000000"/>
              <w:left w:val="single" w:sz="4" w:space="0" w:color="000000"/>
              <w:bottom w:val="nil"/>
              <w:right w:val="single" w:sz="4" w:space="0" w:color="000000"/>
            </w:tcBorders>
            <w:vAlign w:val="center"/>
            <w:hideMark/>
          </w:tcPr>
          <w:p w14:paraId="51810432"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5D8ADD16"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nil"/>
              <w:left w:val="single" w:sz="4" w:space="0" w:color="000000"/>
              <w:bottom w:val="single" w:sz="4" w:space="0" w:color="000000"/>
              <w:right w:val="single" w:sz="4" w:space="0" w:color="000000"/>
            </w:tcBorders>
            <w:vAlign w:val="center"/>
            <w:hideMark/>
          </w:tcPr>
          <w:p w14:paraId="3350768D"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30E0C5BB"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210%</w:t>
            </w:r>
          </w:p>
        </w:tc>
      </w:tr>
      <w:tr w:rsidR="00CA56D7" w:rsidRPr="00CA56D7" w14:paraId="26A6CED1"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569912A5"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496D2499"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7B21E78E"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5EBD3AF4"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150</w:t>
            </w:r>
          </w:p>
        </w:tc>
        <w:tc>
          <w:tcPr>
            <w:tcW w:w="1134" w:type="dxa"/>
            <w:vMerge/>
            <w:tcBorders>
              <w:top w:val="single" w:sz="4" w:space="0" w:color="000000"/>
              <w:left w:val="single" w:sz="4" w:space="0" w:color="000000"/>
              <w:bottom w:val="nil"/>
              <w:right w:val="single" w:sz="4" w:space="0" w:color="000000"/>
            </w:tcBorders>
            <w:vAlign w:val="center"/>
            <w:hideMark/>
          </w:tcPr>
          <w:p w14:paraId="1C8B92F6"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3191A58F"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nil"/>
              <w:left w:val="single" w:sz="4" w:space="0" w:color="000000"/>
              <w:bottom w:val="single" w:sz="4" w:space="0" w:color="000000"/>
              <w:right w:val="single" w:sz="4" w:space="0" w:color="000000"/>
            </w:tcBorders>
            <w:vAlign w:val="center"/>
            <w:hideMark/>
          </w:tcPr>
          <w:p w14:paraId="3B892FA6"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18F5BED6"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101%</w:t>
            </w:r>
          </w:p>
        </w:tc>
      </w:tr>
      <w:tr w:rsidR="00CA56D7" w:rsidRPr="00CA56D7" w14:paraId="6CD725D6"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6858EECE"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36CE4E98"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23A9FD6E"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4B6C2121"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1 610</w:t>
            </w:r>
          </w:p>
        </w:tc>
        <w:tc>
          <w:tcPr>
            <w:tcW w:w="1134" w:type="dxa"/>
            <w:vMerge/>
            <w:tcBorders>
              <w:top w:val="single" w:sz="4" w:space="0" w:color="000000"/>
              <w:left w:val="single" w:sz="4" w:space="0" w:color="000000"/>
              <w:bottom w:val="nil"/>
              <w:right w:val="single" w:sz="4" w:space="0" w:color="000000"/>
            </w:tcBorders>
            <w:vAlign w:val="center"/>
            <w:hideMark/>
          </w:tcPr>
          <w:p w14:paraId="0E3FC35C"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3F366821"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nil"/>
              <w:left w:val="single" w:sz="4" w:space="0" w:color="000000"/>
              <w:bottom w:val="single" w:sz="4" w:space="0" w:color="000000"/>
              <w:right w:val="single" w:sz="4" w:space="0" w:color="000000"/>
            </w:tcBorders>
            <w:vAlign w:val="center"/>
            <w:hideMark/>
          </w:tcPr>
          <w:p w14:paraId="25458D4F"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784AE8F0"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-13%</w:t>
            </w:r>
          </w:p>
        </w:tc>
      </w:tr>
      <w:tr w:rsidR="00CA56D7" w:rsidRPr="00CA56D7" w14:paraId="612F82A6" w14:textId="77777777" w:rsidTr="00655384">
        <w:trPr>
          <w:trHeight w:val="280"/>
        </w:trPr>
        <w:tc>
          <w:tcPr>
            <w:tcW w:w="1395" w:type="dxa"/>
            <w:vMerge/>
            <w:tcBorders>
              <w:top w:val="single" w:sz="4" w:space="0" w:color="000000"/>
              <w:left w:val="double" w:sz="6" w:space="0" w:color="000000"/>
              <w:bottom w:val="dotted" w:sz="4" w:space="0" w:color="000000"/>
              <w:right w:val="single" w:sz="4" w:space="0" w:color="000000"/>
            </w:tcBorders>
            <w:vAlign w:val="center"/>
            <w:hideMark/>
          </w:tcPr>
          <w:p w14:paraId="14D37D41" w14:textId="77777777" w:rsidR="00CA56D7" w:rsidRPr="00CA56D7" w:rsidRDefault="00CA56D7" w:rsidP="00CA56D7">
            <w:pPr>
              <w:jc w:val="left"/>
              <w:rPr>
                <w:rFonts w:ascii="Arial Narrow" w:eastAsia="Times New Roman" w:hAnsi="Arial Narrow" w:cs="Arial"/>
                <w:color w:val="000000"/>
                <w:sz w:val="20"/>
                <w:szCs w:val="20"/>
                <w:lang w:eastAsia="lv-LV"/>
              </w:rPr>
            </w:pPr>
          </w:p>
        </w:tc>
        <w:tc>
          <w:tcPr>
            <w:tcW w:w="1276" w:type="dxa"/>
            <w:vMerge/>
            <w:tcBorders>
              <w:top w:val="single" w:sz="4" w:space="0" w:color="000000"/>
              <w:left w:val="single" w:sz="4" w:space="0" w:color="000000"/>
              <w:bottom w:val="nil"/>
              <w:right w:val="single" w:sz="4" w:space="0" w:color="000000"/>
            </w:tcBorders>
            <w:vAlign w:val="center"/>
            <w:hideMark/>
          </w:tcPr>
          <w:p w14:paraId="1078D97E" w14:textId="77777777" w:rsidR="00CA56D7" w:rsidRPr="00CA56D7" w:rsidRDefault="00CA56D7" w:rsidP="00CA56D7">
            <w:pPr>
              <w:jc w:val="left"/>
              <w:rPr>
                <w:rFonts w:ascii="Arial" w:eastAsia="Times New Roman" w:hAnsi="Arial" w:cs="Arial"/>
                <w:color w:val="000000"/>
                <w:sz w:val="22"/>
                <w:lang w:eastAsia="lv-LV"/>
              </w:rPr>
            </w:pPr>
          </w:p>
        </w:tc>
        <w:tc>
          <w:tcPr>
            <w:tcW w:w="1134" w:type="dxa"/>
            <w:vMerge/>
            <w:tcBorders>
              <w:top w:val="single" w:sz="4" w:space="0" w:color="000000"/>
              <w:left w:val="single" w:sz="4" w:space="0" w:color="000000"/>
              <w:bottom w:val="nil"/>
              <w:right w:val="single" w:sz="4" w:space="0" w:color="000000"/>
            </w:tcBorders>
            <w:vAlign w:val="center"/>
            <w:hideMark/>
          </w:tcPr>
          <w:p w14:paraId="073C7711"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tcBorders>
              <w:top w:val="nil"/>
              <w:left w:val="nil"/>
              <w:bottom w:val="dotted" w:sz="4" w:space="0" w:color="000000"/>
              <w:right w:val="single" w:sz="4" w:space="0" w:color="000000"/>
            </w:tcBorders>
            <w:shd w:val="clear" w:color="auto" w:fill="auto"/>
            <w:noWrap/>
            <w:vAlign w:val="bottom"/>
            <w:hideMark/>
          </w:tcPr>
          <w:p w14:paraId="35B074CF"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3 070</w:t>
            </w:r>
          </w:p>
        </w:tc>
        <w:tc>
          <w:tcPr>
            <w:tcW w:w="1134" w:type="dxa"/>
            <w:vMerge/>
            <w:tcBorders>
              <w:top w:val="single" w:sz="4" w:space="0" w:color="000000"/>
              <w:left w:val="single" w:sz="4" w:space="0" w:color="000000"/>
              <w:bottom w:val="nil"/>
              <w:right w:val="single" w:sz="4" w:space="0" w:color="000000"/>
            </w:tcBorders>
            <w:vAlign w:val="center"/>
            <w:hideMark/>
          </w:tcPr>
          <w:p w14:paraId="4D7DF46D" w14:textId="77777777" w:rsidR="00CA56D7" w:rsidRPr="00CA56D7" w:rsidRDefault="00CA56D7" w:rsidP="00CA56D7">
            <w:pPr>
              <w:jc w:val="left"/>
              <w:rPr>
                <w:rFonts w:ascii="Arial Narrow" w:eastAsia="Times New Roman" w:hAnsi="Arial Narrow" w:cs="Arial"/>
                <w:color w:val="000000"/>
                <w:sz w:val="22"/>
                <w:lang w:eastAsia="lv-LV"/>
              </w:rPr>
            </w:pPr>
          </w:p>
        </w:tc>
        <w:tc>
          <w:tcPr>
            <w:tcW w:w="992" w:type="dxa"/>
            <w:vMerge/>
            <w:tcBorders>
              <w:top w:val="single" w:sz="4" w:space="0" w:color="000000"/>
              <w:left w:val="single" w:sz="4" w:space="0" w:color="000000"/>
              <w:bottom w:val="nil"/>
              <w:right w:val="single" w:sz="4" w:space="0" w:color="000000"/>
            </w:tcBorders>
            <w:vAlign w:val="center"/>
            <w:hideMark/>
          </w:tcPr>
          <w:p w14:paraId="7416E185" w14:textId="77777777" w:rsidR="00CA56D7" w:rsidRPr="00CA56D7" w:rsidRDefault="00CA56D7" w:rsidP="00CA56D7">
            <w:pPr>
              <w:jc w:val="left"/>
              <w:rPr>
                <w:rFonts w:ascii="Arial Narrow" w:eastAsia="Times New Roman" w:hAnsi="Arial Narrow" w:cs="Arial"/>
                <w:color w:val="000000"/>
                <w:sz w:val="22"/>
                <w:lang w:eastAsia="lv-LV"/>
              </w:rPr>
            </w:pPr>
          </w:p>
        </w:tc>
        <w:tc>
          <w:tcPr>
            <w:tcW w:w="1134" w:type="dxa"/>
            <w:vMerge/>
            <w:tcBorders>
              <w:top w:val="nil"/>
              <w:left w:val="single" w:sz="4" w:space="0" w:color="000000"/>
              <w:bottom w:val="single" w:sz="4" w:space="0" w:color="000000"/>
              <w:right w:val="single" w:sz="4" w:space="0" w:color="000000"/>
            </w:tcBorders>
            <w:vAlign w:val="center"/>
            <w:hideMark/>
          </w:tcPr>
          <w:p w14:paraId="2CD6A90C" w14:textId="77777777" w:rsidR="00CA56D7" w:rsidRPr="00CA56D7" w:rsidRDefault="00CA56D7" w:rsidP="00CA56D7">
            <w:pPr>
              <w:jc w:val="left"/>
              <w:rPr>
                <w:rFonts w:ascii="Arial Narrow" w:eastAsia="Times New Roman" w:hAnsi="Arial Narrow" w:cs="Arial"/>
                <w:color w:val="000000"/>
                <w:sz w:val="22"/>
                <w:lang w:eastAsia="lv-LV"/>
              </w:rPr>
            </w:pPr>
          </w:p>
        </w:tc>
        <w:tc>
          <w:tcPr>
            <w:tcW w:w="967" w:type="dxa"/>
            <w:tcBorders>
              <w:top w:val="nil"/>
              <w:left w:val="nil"/>
              <w:bottom w:val="dotted" w:sz="4" w:space="0" w:color="000000"/>
              <w:right w:val="double" w:sz="6" w:space="0" w:color="000000"/>
            </w:tcBorders>
            <w:shd w:val="clear" w:color="auto" w:fill="auto"/>
            <w:vAlign w:val="center"/>
            <w:hideMark/>
          </w:tcPr>
          <w:p w14:paraId="42200368"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-18%</w:t>
            </w:r>
          </w:p>
        </w:tc>
      </w:tr>
      <w:tr w:rsidR="00CA56D7" w:rsidRPr="00CA56D7" w14:paraId="5D3B6605" w14:textId="77777777" w:rsidTr="00655384">
        <w:trPr>
          <w:trHeight w:val="290"/>
        </w:trPr>
        <w:tc>
          <w:tcPr>
            <w:tcW w:w="1395" w:type="dxa"/>
            <w:tcBorders>
              <w:top w:val="single" w:sz="4" w:space="0" w:color="000000"/>
              <w:left w:val="double" w:sz="6" w:space="0" w:color="000000"/>
              <w:bottom w:val="double" w:sz="6" w:space="0" w:color="000000"/>
              <w:right w:val="single" w:sz="4" w:space="0" w:color="000000"/>
            </w:tcBorders>
            <w:shd w:val="clear" w:color="auto" w:fill="auto"/>
            <w:vAlign w:val="center"/>
            <w:hideMark/>
          </w:tcPr>
          <w:p w14:paraId="76B3FA49" w14:textId="77777777" w:rsidR="00CA56D7" w:rsidRPr="00CA56D7" w:rsidRDefault="00CA56D7" w:rsidP="00CA56D7">
            <w:pPr>
              <w:jc w:val="left"/>
              <w:rPr>
                <w:rFonts w:ascii="Arial Narrow" w:eastAsia="Times New Roman" w:hAnsi="Arial Narrow" w:cs="Arial"/>
                <w:color w:val="000000"/>
                <w:sz w:val="20"/>
                <w:szCs w:val="20"/>
                <w:lang w:eastAsia="lv-LV"/>
              </w:rPr>
            </w:pPr>
            <w:r w:rsidRPr="00CA56D7">
              <w:rPr>
                <w:rFonts w:ascii="Arial Narrow" w:eastAsia="Times New Roman" w:hAnsi="Arial Narrow" w:cs="Arial"/>
                <w:color w:val="000000"/>
                <w:sz w:val="20"/>
                <w:szCs w:val="20"/>
                <w:lang w:eastAsia="lv-LV"/>
              </w:rPr>
              <w:t>6. Elektroenerģijas ražotāju tarifs** (*)</w:t>
            </w:r>
          </w:p>
        </w:tc>
        <w:tc>
          <w:tcPr>
            <w:tcW w:w="1276" w:type="dxa"/>
            <w:tcBorders>
              <w:top w:val="single" w:sz="4" w:space="0" w:color="000000"/>
              <w:left w:val="nil"/>
              <w:bottom w:val="double" w:sz="6" w:space="0" w:color="000000"/>
              <w:right w:val="single" w:sz="4" w:space="0" w:color="000000"/>
            </w:tcBorders>
            <w:shd w:val="clear" w:color="auto" w:fill="auto"/>
            <w:noWrap/>
            <w:vAlign w:val="center"/>
            <w:hideMark/>
          </w:tcPr>
          <w:p w14:paraId="7195B681" w14:textId="77777777" w:rsidR="00CA56D7" w:rsidRPr="00CA56D7" w:rsidRDefault="00CA56D7" w:rsidP="00CA56D7">
            <w:pPr>
              <w:jc w:val="center"/>
              <w:rPr>
                <w:rFonts w:ascii="Arial" w:eastAsia="Times New Roman" w:hAnsi="Arial" w:cs="Arial"/>
                <w:color w:val="000000"/>
                <w:sz w:val="22"/>
                <w:lang w:eastAsia="lv-LV"/>
              </w:rPr>
            </w:pPr>
            <w:r w:rsidRPr="00CA56D7">
              <w:rPr>
                <w:rFonts w:ascii="Arial" w:eastAsia="Times New Roman" w:hAnsi="Arial" w:cs="Arial"/>
                <w:color w:val="000000"/>
                <w:sz w:val="22"/>
                <w:lang w:eastAsia="lv-LV"/>
              </w:rPr>
              <w:t>16</w:t>
            </w:r>
          </w:p>
        </w:tc>
        <w:tc>
          <w:tcPr>
            <w:tcW w:w="1134" w:type="dxa"/>
            <w:tcBorders>
              <w:top w:val="single" w:sz="4" w:space="0" w:color="000000"/>
              <w:left w:val="nil"/>
              <w:bottom w:val="double" w:sz="6" w:space="0" w:color="000000"/>
              <w:right w:val="single" w:sz="4" w:space="0" w:color="000000"/>
            </w:tcBorders>
            <w:shd w:val="clear" w:color="auto" w:fill="auto"/>
            <w:vAlign w:val="center"/>
            <w:hideMark/>
          </w:tcPr>
          <w:p w14:paraId="178779F6"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A</w:t>
            </w:r>
          </w:p>
        </w:tc>
        <w:tc>
          <w:tcPr>
            <w:tcW w:w="992" w:type="dxa"/>
            <w:tcBorders>
              <w:top w:val="single" w:sz="4" w:space="0" w:color="000000"/>
              <w:left w:val="nil"/>
              <w:bottom w:val="double" w:sz="6" w:space="0" w:color="000000"/>
              <w:right w:val="single" w:sz="4" w:space="0" w:color="000000"/>
            </w:tcBorders>
            <w:shd w:val="clear" w:color="auto" w:fill="auto"/>
            <w:noWrap/>
            <w:vAlign w:val="bottom"/>
            <w:hideMark/>
          </w:tcPr>
          <w:p w14:paraId="435E9906" w14:textId="77777777" w:rsidR="00CA56D7" w:rsidRPr="00CA56D7" w:rsidRDefault="00CA56D7" w:rsidP="00CA56D7">
            <w:pPr>
              <w:jc w:val="right"/>
              <w:rPr>
                <w:rFonts w:ascii="Arial" w:eastAsia="Times New Roman" w:hAnsi="Arial" w:cs="Arial"/>
                <w:color w:val="000000"/>
                <w:sz w:val="22"/>
                <w:lang w:eastAsia="lv-LV"/>
              </w:rPr>
            </w:pPr>
            <w:r w:rsidRPr="00CA56D7">
              <w:rPr>
                <w:rFonts w:ascii="Arial" w:eastAsia="Times New Roman" w:hAnsi="Arial" w:cs="Arial"/>
                <w:color w:val="000000"/>
                <w:sz w:val="22"/>
                <w:lang w:eastAsia="lv-LV"/>
              </w:rPr>
              <w:t>150</w:t>
            </w:r>
          </w:p>
        </w:tc>
        <w:tc>
          <w:tcPr>
            <w:tcW w:w="1134" w:type="dxa"/>
            <w:tcBorders>
              <w:top w:val="single" w:sz="4" w:space="0" w:color="000000"/>
              <w:left w:val="nil"/>
              <w:bottom w:val="double" w:sz="6" w:space="0" w:color="000000"/>
              <w:right w:val="single" w:sz="4" w:space="0" w:color="000000"/>
            </w:tcBorders>
            <w:shd w:val="clear" w:color="auto" w:fill="auto"/>
            <w:vAlign w:val="center"/>
            <w:hideMark/>
          </w:tcPr>
          <w:p w14:paraId="1F216009"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0</w:t>
            </w:r>
          </w:p>
        </w:tc>
        <w:tc>
          <w:tcPr>
            <w:tcW w:w="992" w:type="dxa"/>
            <w:tcBorders>
              <w:top w:val="single" w:sz="4" w:space="0" w:color="000000"/>
              <w:left w:val="nil"/>
              <w:bottom w:val="double" w:sz="6" w:space="0" w:color="000000"/>
              <w:right w:val="single" w:sz="4" w:space="0" w:color="000000"/>
            </w:tcBorders>
            <w:shd w:val="clear" w:color="auto" w:fill="auto"/>
            <w:noWrap/>
            <w:vAlign w:val="center"/>
            <w:hideMark/>
          </w:tcPr>
          <w:p w14:paraId="5E6DFF7A"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0,0005*</w:t>
            </w:r>
          </w:p>
        </w:tc>
        <w:tc>
          <w:tcPr>
            <w:tcW w:w="1134" w:type="dxa"/>
            <w:tcBorders>
              <w:top w:val="nil"/>
              <w:left w:val="nil"/>
              <w:bottom w:val="double" w:sz="6" w:space="0" w:color="000000"/>
              <w:right w:val="single" w:sz="4" w:space="0" w:color="000000"/>
            </w:tcBorders>
            <w:shd w:val="clear" w:color="auto" w:fill="auto"/>
            <w:vAlign w:val="center"/>
            <w:hideMark/>
          </w:tcPr>
          <w:p w14:paraId="3CEECCBA" w14:textId="77777777" w:rsidR="00CA56D7" w:rsidRPr="00CA56D7" w:rsidRDefault="00CA56D7" w:rsidP="00CA56D7">
            <w:pPr>
              <w:jc w:val="center"/>
              <w:rPr>
                <w:rFonts w:ascii="Arial Narrow" w:eastAsia="Times New Roman" w:hAnsi="Arial Narrow" w:cs="Arial"/>
                <w:color w:val="000000"/>
                <w:sz w:val="22"/>
                <w:lang w:eastAsia="lv-LV"/>
              </w:rPr>
            </w:pPr>
            <w:r w:rsidRPr="00CA56D7">
              <w:rPr>
                <w:rFonts w:ascii="Arial Narrow" w:eastAsia="Times New Roman" w:hAnsi="Arial Narrow" w:cs="Arial"/>
                <w:color w:val="000000"/>
                <w:sz w:val="22"/>
                <w:lang w:eastAsia="lv-LV"/>
              </w:rPr>
              <w:t> </w:t>
            </w:r>
          </w:p>
        </w:tc>
        <w:tc>
          <w:tcPr>
            <w:tcW w:w="967" w:type="dxa"/>
            <w:tcBorders>
              <w:top w:val="single" w:sz="4" w:space="0" w:color="000000"/>
              <w:left w:val="nil"/>
              <w:bottom w:val="double" w:sz="6" w:space="0" w:color="000000"/>
              <w:right w:val="double" w:sz="6" w:space="0" w:color="000000"/>
            </w:tcBorders>
            <w:shd w:val="clear" w:color="auto" w:fill="auto"/>
            <w:hideMark/>
          </w:tcPr>
          <w:p w14:paraId="3030DA81" w14:textId="77777777" w:rsidR="00CA56D7" w:rsidRPr="00CA56D7" w:rsidRDefault="00CA56D7" w:rsidP="00CA56D7">
            <w:pPr>
              <w:jc w:val="center"/>
              <w:rPr>
                <w:rFonts w:ascii="Arial Narrow" w:eastAsia="Times New Roman" w:hAnsi="Arial Narrow" w:cs="Arial"/>
                <w:b/>
                <w:bCs/>
                <w:color w:val="000000"/>
                <w:sz w:val="20"/>
                <w:szCs w:val="20"/>
                <w:lang w:eastAsia="lv-LV"/>
              </w:rPr>
            </w:pPr>
            <w:r w:rsidRPr="00CA56D7">
              <w:rPr>
                <w:rFonts w:ascii="Arial Narrow" w:eastAsia="Times New Roman" w:hAnsi="Arial Narrow" w:cs="Arial"/>
                <w:b/>
                <w:bCs/>
                <w:color w:val="000000"/>
                <w:sz w:val="20"/>
                <w:szCs w:val="20"/>
                <w:lang w:eastAsia="lv-LV"/>
              </w:rPr>
              <w:t> </w:t>
            </w:r>
          </w:p>
        </w:tc>
      </w:tr>
    </w:tbl>
    <w:p w14:paraId="54C30250" w14:textId="77777777" w:rsidR="00655384" w:rsidRPr="00655384" w:rsidRDefault="00655384" w:rsidP="00655384">
      <w:pPr>
        <w:rPr>
          <w:rFonts w:ascii="Arial Narrow" w:eastAsia="Times New Roman" w:hAnsi="Arial Narrow" w:cs="Arial"/>
          <w:color w:val="000000"/>
          <w:sz w:val="22"/>
          <w:lang w:eastAsia="lv-LV"/>
        </w:rPr>
      </w:pPr>
      <w:r w:rsidRPr="00655384">
        <w:rPr>
          <w:rFonts w:ascii="Arial Narrow" w:eastAsia="Times New Roman" w:hAnsi="Arial Narrow" w:cs="Arial"/>
          <w:color w:val="000000"/>
          <w:sz w:val="22"/>
          <w:lang w:eastAsia="lv-LV"/>
        </w:rPr>
        <w:t>*atbilstoši Eiropas Komisijas regulai Nr. 838/2010 (2010. gada 23. septembris)</w:t>
      </w:r>
    </w:p>
    <w:p w14:paraId="2D7441B8" w14:textId="4D2FFCBE" w:rsidR="003D37DC" w:rsidRPr="00920832" w:rsidRDefault="003D37DC" w:rsidP="003D37DC">
      <w:pPr>
        <w:textAlignment w:val="baseline"/>
        <w:rPr>
          <w:rFonts w:ascii="Arial" w:eastAsia="Times New Roman" w:hAnsi="Arial" w:cs="Arial"/>
          <w:szCs w:val="24"/>
          <w:lang w:eastAsia="lv-LV"/>
        </w:rPr>
      </w:pPr>
    </w:p>
    <w:p w14:paraId="4E6BED53" w14:textId="77777777" w:rsidR="003D37DC" w:rsidRPr="00920832" w:rsidRDefault="003D37DC" w:rsidP="003D37DC">
      <w:pPr>
        <w:rPr>
          <w:rFonts w:ascii="Arial" w:eastAsia="Times New Roman" w:hAnsi="Arial" w:cs="Arial"/>
          <w:lang w:eastAsia="lv-LV"/>
        </w:rPr>
      </w:pPr>
    </w:p>
    <w:p w14:paraId="4AE559CE" w14:textId="4FF99E07" w:rsidR="003D37DC" w:rsidRPr="00A20F62" w:rsidRDefault="003D37DC" w:rsidP="003D37DC">
      <w:pPr>
        <w:textAlignment w:val="baseline"/>
        <w:rPr>
          <w:rFonts w:ascii="Arial" w:eastAsia="Times New Roman" w:hAnsi="Arial" w:cs="Arial"/>
          <w:sz w:val="22"/>
          <w:lang w:eastAsia="lv-LV"/>
        </w:rPr>
      </w:pPr>
      <w:r w:rsidRPr="00A20F62">
        <w:rPr>
          <w:rFonts w:ascii="Arial" w:eastAsia="Times New Roman" w:hAnsi="Arial" w:cs="Arial"/>
          <w:sz w:val="22"/>
          <w:lang w:eastAsia="lv-LV"/>
        </w:rPr>
        <w:t xml:space="preserve">Katram LDz klientam </w:t>
      </w:r>
      <w:r w:rsidR="00031F10">
        <w:rPr>
          <w:rFonts w:ascii="Arial" w:eastAsia="Times New Roman" w:hAnsi="Arial" w:cs="Arial"/>
          <w:sz w:val="22"/>
          <w:lang w:eastAsia="lv-LV"/>
        </w:rPr>
        <w:t xml:space="preserve">tiek </w:t>
      </w:r>
      <w:r w:rsidR="00F32DC9" w:rsidRPr="00A20F62">
        <w:rPr>
          <w:rFonts w:ascii="Arial" w:eastAsia="Times New Roman" w:hAnsi="Arial" w:cs="Arial"/>
          <w:sz w:val="22"/>
          <w:lang w:eastAsia="lv-LV"/>
        </w:rPr>
        <w:t xml:space="preserve">piedāvāts pieslēguma veids </w:t>
      </w:r>
      <w:r w:rsidRPr="00A20F62">
        <w:rPr>
          <w:rFonts w:ascii="Arial" w:eastAsia="Times New Roman" w:hAnsi="Arial" w:cs="Arial"/>
          <w:sz w:val="22"/>
          <w:lang w:eastAsia="lv-LV"/>
        </w:rPr>
        <w:t>saskaņā ar tehniskiem nosacījumiem</w:t>
      </w:r>
      <w:r w:rsidR="00CD729F">
        <w:rPr>
          <w:rFonts w:ascii="Arial" w:eastAsia="Times New Roman" w:hAnsi="Arial" w:cs="Arial"/>
          <w:sz w:val="22"/>
          <w:lang w:eastAsia="lv-LV"/>
        </w:rPr>
        <w:t>.</w:t>
      </w:r>
    </w:p>
    <w:p w14:paraId="345D2909" w14:textId="5B64BC04" w:rsidR="009F02DD" w:rsidRDefault="003D37DC" w:rsidP="003D37DC">
      <w:pPr>
        <w:ind w:firstLine="720"/>
        <w:textAlignment w:val="baseline"/>
        <w:rPr>
          <w:rFonts w:ascii="Arial" w:eastAsia="Times New Roman" w:hAnsi="Arial" w:cs="Arial"/>
          <w:sz w:val="22"/>
          <w:lang w:eastAsia="lv-LV"/>
        </w:rPr>
      </w:pPr>
      <w:r w:rsidRPr="00A20F62">
        <w:rPr>
          <w:rFonts w:ascii="Arial" w:eastAsia="Times New Roman" w:hAnsi="Arial" w:cs="Arial"/>
          <w:sz w:val="22"/>
          <w:lang w:eastAsia="lv-LV"/>
        </w:rPr>
        <w:t xml:space="preserve">Galvenā atšķirība tarifu veidošanai pret iepriekš noteiktajiem tarifiem ir tā, ka iesniegtajā projektā turpmāk tarifi sastāvēs no tarifu fiksētās </w:t>
      </w:r>
      <w:r w:rsidR="009F02DD">
        <w:rPr>
          <w:rFonts w:ascii="Arial" w:eastAsia="Times New Roman" w:hAnsi="Arial" w:cs="Arial"/>
          <w:sz w:val="22"/>
          <w:lang w:eastAsia="lv-LV"/>
        </w:rPr>
        <w:t>(</w:t>
      </w:r>
      <w:r w:rsidR="009F02DD" w:rsidRPr="00920832">
        <w:rPr>
          <w:rFonts w:ascii="Arial" w:hAnsi="Arial" w:cs="Arial"/>
          <w:sz w:val="22"/>
        </w:rPr>
        <w:t>maksa par jaudas uzturēšanu</w:t>
      </w:r>
      <w:r w:rsidR="009F02DD">
        <w:rPr>
          <w:rFonts w:ascii="Arial" w:hAnsi="Arial" w:cs="Arial"/>
          <w:sz w:val="22"/>
        </w:rPr>
        <w:t>)</w:t>
      </w:r>
      <w:r w:rsidR="009F02DD" w:rsidRPr="00A20F62">
        <w:rPr>
          <w:rFonts w:ascii="Arial" w:eastAsia="Times New Roman" w:hAnsi="Arial" w:cs="Arial"/>
          <w:sz w:val="22"/>
          <w:lang w:eastAsia="lv-LV"/>
        </w:rPr>
        <w:t xml:space="preserve"> </w:t>
      </w:r>
      <w:r w:rsidRPr="00A20F62">
        <w:rPr>
          <w:rFonts w:ascii="Arial" w:eastAsia="Times New Roman" w:hAnsi="Arial" w:cs="Arial"/>
          <w:sz w:val="22"/>
          <w:lang w:eastAsia="lv-LV"/>
        </w:rPr>
        <w:t xml:space="preserve">un mainīgās </w:t>
      </w:r>
      <w:r w:rsidR="009F02DD">
        <w:rPr>
          <w:rFonts w:ascii="Arial" w:eastAsia="Times New Roman" w:hAnsi="Arial" w:cs="Arial"/>
          <w:sz w:val="22"/>
          <w:lang w:eastAsia="lv-LV"/>
        </w:rPr>
        <w:t>(maksa par elektroenerģijas patēriņu)</w:t>
      </w:r>
      <w:r w:rsidRPr="00A20F62">
        <w:rPr>
          <w:rFonts w:ascii="Arial" w:eastAsia="Times New Roman" w:hAnsi="Arial" w:cs="Arial"/>
          <w:sz w:val="22"/>
          <w:lang w:eastAsia="lv-LV"/>
        </w:rPr>
        <w:t xml:space="preserve"> </w:t>
      </w:r>
      <w:r w:rsidR="00CF6480">
        <w:rPr>
          <w:rFonts w:ascii="Arial" w:eastAsia="Times New Roman" w:hAnsi="Arial" w:cs="Arial"/>
          <w:sz w:val="22"/>
          <w:lang w:eastAsia="lv-LV"/>
        </w:rPr>
        <w:t>d</w:t>
      </w:r>
      <w:r w:rsidR="009F02DD" w:rsidRPr="00A20F62">
        <w:rPr>
          <w:rFonts w:ascii="Arial" w:eastAsia="Times New Roman" w:hAnsi="Arial" w:cs="Arial"/>
          <w:sz w:val="22"/>
          <w:lang w:eastAsia="lv-LV"/>
        </w:rPr>
        <w:t>aļas</w:t>
      </w:r>
      <w:r w:rsidR="00031F10">
        <w:rPr>
          <w:rFonts w:ascii="Arial" w:eastAsia="Times New Roman" w:hAnsi="Arial" w:cs="Arial"/>
          <w:sz w:val="22"/>
          <w:lang w:eastAsia="lv-LV"/>
        </w:rPr>
        <w:t>, tuvinot tarifa struktūru faktisko ar pakalpojuma sniegšanu saistīto izmaksu struktūrai</w:t>
      </w:r>
      <w:r w:rsidR="009F02DD">
        <w:rPr>
          <w:rFonts w:ascii="Arial" w:eastAsia="Times New Roman" w:hAnsi="Arial" w:cs="Arial"/>
          <w:sz w:val="22"/>
          <w:lang w:eastAsia="lv-LV"/>
        </w:rPr>
        <w:t xml:space="preserve">. </w:t>
      </w:r>
    </w:p>
    <w:p w14:paraId="5BB2FF70" w14:textId="0F2C5FA0" w:rsidR="003D37DC" w:rsidRPr="00A20F62" w:rsidRDefault="009F02DD" w:rsidP="003D37DC">
      <w:pPr>
        <w:ind w:firstLine="720"/>
        <w:textAlignment w:val="baseline"/>
        <w:rPr>
          <w:rFonts w:ascii="Arial" w:eastAsia="Times New Roman" w:hAnsi="Arial" w:cs="Arial"/>
          <w:sz w:val="22"/>
          <w:lang w:eastAsia="lv-LV"/>
        </w:rPr>
      </w:pPr>
      <w:r>
        <w:rPr>
          <w:rFonts w:ascii="Arial" w:eastAsia="Times New Roman" w:hAnsi="Arial" w:cs="Arial"/>
          <w:sz w:val="22"/>
          <w:lang w:eastAsia="lv-LV"/>
        </w:rPr>
        <w:lastRenderedPageBreak/>
        <w:t xml:space="preserve"> </w:t>
      </w:r>
      <w:r w:rsidR="003D37DC" w:rsidRPr="00A20F62">
        <w:rPr>
          <w:rFonts w:ascii="Arial" w:eastAsia="Times New Roman" w:hAnsi="Arial" w:cs="Arial"/>
          <w:sz w:val="22"/>
          <w:lang w:eastAsia="lv-LV"/>
        </w:rPr>
        <w:t>Informācija par tarifu projektā un spēkā esošajos tarifos iekļautajām izmaksām atspoguļota tabulā nr. 2.</w:t>
      </w:r>
    </w:p>
    <w:p w14:paraId="43536B7B" w14:textId="77777777" w:rsidR="003D37DC" w:rsidRDefault="003D37DC" w:rsidP="005A564A">
      <w:pPr>
        <w:keepNext/>
        <w:ind w:firstLine="720"/>
        <w:jc w:val="right"/>
        <w:textAlignment w:val="baseline"/>
        <w:rPr>
          <w:rFonts w:ascii="Arial" w:eastAsia="Times New Roman" w:hAnsi="Arial" w:cs="Arial"/>
          <w:sz w:val="22"/>
          <w:lang w:eastAsia="lv-LV"/>
        </w:rPr>
      </w:pPr>
      <w:r w:rsidRPr="00A20F62">
        <w:rPr>
          <w:rFonts w:ascii="Arial" w:eastAsia="Times New Roman" w:hAnsi="Arial" w:cs="Arial"/>
          <w:sz w:val="22"/>
          <w:lang w:eastAsia="lv-LV"/>
        </w:rPr>
        <w:t>Tabula nr.2</w:t>
      </w:r>
    </w:p>
    <w:tbl>
      <w:tblPr>
        <w:tblW w:w="9062" w:type="dxa"/>
        <w:tblLook w:val="04A0" w:firstRow="1" w:lastRow="0" w:firstColumn="1" w:lastColumn="0" w:noHBand="0" w:noVBand="1"/>
      </w:tblPr>
      <w:tblGrid>
        <w:gridCol w:w="4526"/>
        <w:gridCol w:w="1418"/>
        <w:gridCol w:w="1128"/>
        <w:gridCol w:w="998"/>
        <w:gridCol w:w="992"/>
      </w:tblGrid>
      <w:tr w:rsidR="00031F10" w:rsidRPr="00031F10" w14:paraId="6E6D3AF5" w14:textId="77777777" w:rsidTr="00031F10">
        <w:trPr>
          <w:trHeight w:val="520"/>
        </w:trPr>
        <w:tc>
          <w:tcPr>
            <w:tcW w:w="45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78D034" w14:textId="77777777" w:rsidR="00031F10" w:rsidRPr="00031F10" w:rsidRDefault="00031F10" w:rsidP="00031F10">
            <w:pPr>
              <w:jc w:val="center"/>
              <w:rPr>
                <w:rFonts w:eastAsia="Times New Roman" w:cs="Times New Roman"/>
                <w:b/>
                <w:bCs/>
                <w:color w:val="000000"/>
                <w:sz w:val="20"/>
                <w:szCs w:val="20"/>
                <w:lang w:eastAsia="lv-LV"/>
              </w:rPr>
            </w:pPr>
            <w:r w:rsidRPr="00031F10">
              <w:rPr>
                <w:rFonts w:eastAsia="Times New Roman" w:cs="Times New Roman"/>
                <w:b/>
                <w:bCs/>
                <w:color w:val="000000"/>
                <w:sz w:val="20"/>
                <w:szCs w:val="20"/>
                <w:lang w:eastAsia="lv-LV"/>
              </w:rPr>
              <w:t>Izmaksu pozīcija</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D85819" w14:textId="77777777" w:rsidR="00031F10" w:rsidRPr="00031F10" w:rsidRDefault="00031F10" w:rsidP="00031F10">
            <w:pPr>
              <w:jc w:val="center"/>
              <w:rPr>
                <w:rFonts w:eastAsia="Times New Roman" w:cs="Times New Roman"/>
                <w:b/>
                <w:bCs/>
                <w:color w:val="000000"/>
                <w:sz w:val="20"/>
                <w:szCs w:val="20"/>
                <w:lang w:eastAsia="lv-LV"/>
              </w:rPr>
            </w:pPr>
            <w:r w:rsidRPr="00031F10">
              <w:rPr>
                <w:rFonts w:eastAsia="Times New Roman" w:cs="Times New Roman"/>
                <w:b/>
                <w:bCs/>
                <w:color w:val="000000"/>
                <w:sz w:val="20"/>
                <w:szCs w:val="20"/>
                <w:lang w:eastAsia="lv-LV"/>
              </w:rPr>
              <w:t>Spēkā esošo tarifu aprēķins (vidēji gadā)</w:t>
            </w:r>
          </w:p>
        </w:tc>
        <w:tc>
          <w:tcPr>
            <w:tcW w:w="11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B87E91" w14:textId="77777777" w:rsidR="00031F10" w:rsidRPr="00031F10" w:rsidRDefault="00031F10" w:rsidP="00031F10">
            <w:pPr>
              <w:jc w:val="center"/>
              <w:rPr>
                <w:rFonts w:eastAsia="Times New Roman" w:cs="Times New Roman"/>
                <w:b/>
                <w:bCs/>
                <w:color w:val="000000"/>
                <w:sz w:val="20"/>
                <w:szCs w:val="20"/>
                <w:lang w:eastAsia="lv-LV"/>
              </w:rPr>
            </w:pPr>
            <w:r w:rsidRPr="00031F10">
              <w:rPr>
                <w:rFonts w:eastAsia="Times New Roman" w:cs="Times New Roman"/>
                <w:b/>
                <w:bCs/>
                <w:color w:val="000000"/>
                <w:sz w:val="20"/>
                <w:szCs w:val="20"/>
                <w:lang w:eastAsia="lv-LV"/>
              </w:rPr>
              <w:t>Tarifu projekts</w:t>
            </w:r>
          </w:p>
        </w:tc>
        <w:tc>
          <w:tcPr>
            <w:tcW w:w="1990" w:type="dxa"/>
            <w:gridSpan w:val="2"/>
            <w:tcBorders>
              <w:top w:val="single" w:sz="8" w:space="0" w:color="auto"/>
              <w:left w:val="nil"/>
              <w:bottom w:val="single" w:sz="8" w:space="0" w:color="auto"/>
              <w:right w:val="single" w:sz="8" w:space="0" w:color="auto"/>
            </w:tcBorders>
            <w:shd w:val="clear" w:color="auto" w:fill="auto"/>
            <w:vAlign w:val="center"/>
            <w:hideMark/>
          </w:tcPr>
          <w:p w14:paraId="7ADC3F16" w14:textId="77777777" w:rsidR="00031F10" w:rsidRPr="00031F10" w:rsidRDefault="00031F10" w:rsidP="00031F10">
            <w:pPr>
              <w:jc w:val="center"/>
              <w:rPr>
                <w:rFonts w:eastAsia="Times New Roman" w:cs="Times New Roman"/>
                <w:b/>
                <w:bCs/>
                <w:color w:val="000000"/>
                <w:sz w:val="20"/>
                <w:szCs w:val="20"/>
                <w:lang w:eastAsia="lv-LV"/>
              </w:rPr>
            </w:pPr>
            <w:r w:rsidRPr="00031F10">
              <w:rPr>
                <w:rFonts w:eastAsia="Times New Roman" w:cs="Times New Roman"/>
                <w:b/>
                <w:bCs/>
                <w:color w:val="000000"/>
                <w:sz w:val="20"/>
                <w:szCs w:val="20"/>
                <w:lang w:eastAsia="lv-LV"/>
              </w:rPr>
              <w:t>Tarifu projekts pret spēkā esošo tarifu aprēķinu</w:t>
            </w:r>
          </w:p>
        </w:tc>
      </w:tr>
      <w:tr w:rsidR="00031F10" w:rsidRPr="00031F10" w14:paraId="16C52D07" w14:textId="77777777" w:rsidTr="00031F10">
        <w:trPr>
          <w:trHeight w:val="300"/>
        </w:trPr>
        <w:tc>
          <w:tcPr>
            <w:tcW w:w="4526" w:type="dxa"/>
            <w:vMerge/>
            <w:tcBorders>
              <w:top w:val="single" w:sz="8" w:space="0" w:color="auto"/>
              <w:left w:val="single" w:sz="8" w:space="0" w:color="auto"/>
              <w:bottom w:val="single" w:sz="8" w:space="0" w:color="000000"/>
              <w:right w:val="single" w:sz="8" w:space="0" w:color="auto"/>
            </w:tcBorders>
            <w:vAlign w:val="center"/>
            <w:hideMark/>
          </w:tcPr>
          <w:p w14:paraId="6F7BC59B" w14:textId="77777777" w:rsidR="00031F10" w:rsidRPr="00031F10" w:rsidRDefault="00031F10" w:rsidP="00031F10">
            <w:pPr>
              <w:jc w:val="left"/>
              <w:rPr>
                <w:rFonts w:eastAsia="Times New Roman" w:cs="Times New Roman"/>
                <w:b/>
                <w:bCs/>
                <w:color w:val="000000"/>
                <w:sz w:val="20"/>
                <w:szCs w:val="20"/>
                <w:lang w:eastAsia="lv-LV"/>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A58CE35" w14:textId="77777777" w:rsidR="00031F10" w:rsidRPr="00031F10" w:rsidRDefault="00031F10" w:rsidP="00031F10">
            <w:pPr>
              <w:jc w:val="left"/>
              <w:rPr>
                <w:rFonts w:eastAsia="Times New Roman" w:cs="Times New Roman"/>
                <w:b/>
                <w:bCs/>
                <w:color w:val="000000"/>
                <w:sz w:val="20"/>
                <w:szCs w:val="20"/>
                <w:lang w:eastAsia="lv-LV"/>
              </w:rPr>
            </w:pPr>
          </w:p>
        </w:tc>
        <w:tc>
          <w:tcPr>
            <w:tcW w:w="1128" w:type="dxa"/>
            <w:vMerge/>
            <w:tcBorders>
              <w:top w:val="single" w:sz="8" w:space="0" w:color="auto"/>
              <w:left w:val="single" w:sz="8" w:space="0" w:color="auto"/>
              <w:bottom w:val="single" w:sz="8" w:space="0" w:color="000000"/>
              <w:right w:val="single" w:sz="8" w:space="0" w:color="auto"/>
            </w:tcBorders>
            <w:vAlign w:val="center"/>
            <w:hideMark/>
          </w:tcPr>
          <w:p w14:paraId="3BEBADAE" w14:textId="77777777" w:rsidR="00031F10" w:rsidRPr="00031F10" w:rsidRDefault="00031F10" w:rsidP="00031F10">
            <w:pPr>
              <w:jc w:val="left"/>
              <w:rPr>
                <w:rFonts w:eastAsia="Times New Roman" w:cs="Times New Roman"/>
                <w:b/>
                <w:bCs/>
                <w:color w:val="000000"/>
                <w:sz w:val="20"/>
                <w:szCs w:val="20"/>
                <w:lang w:eastAsia="lv-LV"/>
              </w:rPr>
            </w:pPr>
          </w:p>
        </w:tc>
        <w:tc>
          <w:tcPr>
            <w:tcW w:w="998" w:type="dxa"/>
            <w:tcBorders>
              <w:top w:val="nil"/>
              <w:left w:val="nil"/>
              <w:bottom w:val="single" w:sz="8" w:space="0" w:color="auto"/>
              <w:right w:val="single" w:sz="8" w:space="0" w:color="auto"/>
            </w:tcBorders>
            <w:shd w:val="clear" w:color="auto" w:fill="auto"/>
            <w:vAlign w:val="center"/>
            <w:hideMark/>
          </w:tcPr>
          <w:p w14:paraId="5B72D1BD" w14:textId="77777777" w:rsidR="00031F10" w:rsidRPr="00031F10" w:rsidRDefault="00031F10" w:rsidP="00031F10">
            <w:pPr>
              <w:jc w:val="center"/>
              <w:rPr>
                <w:rFonts w:eastAsia="Times New Roman" w:cs="Times New Roman"/>
                <w:b/>
                <w:bCs/>
                <w:color w:val="000000"/>
                <w:sz w:val="20"/>
                <w:szCs w:val="20"/>
                <w:lang w:eastAsia="lv-LV"/>
              </w:rPr>
            </w:pPr>
            <w:r w:rsidRPr="00031F10">
              <w:rPr>
                <w:rFonts w:eastAsia="Times New Roman" w:cs="Times New Roman"/>
                <w:b/>
                <w:bCs/>
                <w:color w:val="000000"/>
                <w:sz w:val="20"/>
                <w:szCs w:val="20"/>
                <w:lang w:eastAsia="lv-LV"/>
              </w:rPr>
              <w:t>Abs.</w:t>
            </w:r>
          </w:p>
        </w:tc>
        <w:tc>
          <w:tcPr>
            <w:tcW w:w="992" w:type="dxa"/>
            <w:tcBorders>
              <w:top w:val="nil"/>
              <w:left w:val="nil"/>
              <w:bottom w:val="single" w:sz="8" w:space="0" w:color="auto"/>
              <w:right w:val="single" w:sz="8" w:space="0" w:color="auto"/>
            </w:tcBorders>
            <w:shd w:val="clear" w:color="auto" w:fill="auto"/>
            <w:vAlign w:val="center"/>
            <w:hideMark/>
          </w:tcPr>
          <w:p w14:paraId="5EE51E38" w14:textId="77777777" w:rsidR="00031F10" w:rsidRPr="00031F10" w:rsidRDefault="00031F10" w:rsidP="00031F10">
            <w:pPr>
              <w:jc w:val="center"/>
              <w:rPr>
                <w:rFonts w:eastAsia="Times New Roman" w:cs="Times New Roman"/>
                <w:b/>
                <w:bCs/>
                <w:color w:val="000000"/>
                <w:sz w:val="20"/>
                <w:szCs w:val="20"/>
                <w:lang w:eastAsia="lv-LV"/>
              </w:rPr>
            </w:pPr>
            <w:r w:rsidRPr="00031F10">
              <w:rPr>
                <w:rFonts w:eastAsia="Times New Roman" w:cs="Times New Roman"/>
                <w:b/>
                <w:bCs/>
                <w:color w:val="000000"/>
                <w:sz w:val="20"/>
                <w:szCs w:val="20"/>
                <w:lang w:eastAsia="lv-LV"/>
              </w:rPr>
              <w:t>%</w:t>
            </w:r>
          </w:p>
        </w:tc>
      </w:tr>
      <w:tr w:rsidR="00031F10" w:rsidRPr="00031F10" w14:paraId="102D1F47" w14:textId="77777777" w:rsidTr="00031F10">
        <w:trPr>
          <w:trHeight w:val="30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55D217D" w14:textId="77777777" w:rsidR="00031F10" w:rsidRPr="00031F10" w:rsidRDefault="00031F10" w:rsidP="00031F10">
            <w:pPr>
              <w:jc w:val="left"/>
              <w:rPr>
                <w:rFonts w:eastAsia="Times New Roman" w:cs="Times New Roman"/>
                <w:b/>
                <w:bCs/>
                <w:color w:val="000000"/>
                <w:sz w:val="22"/>
                <w:lang w:eastAsia="lv-LV"/>
              </w:rPr>
            </w:pPr>
            <w:r w:rsidRPr="00031F10">
              <w:rPr>
                <w:rFonts w:eastAsia="Times New Roman" w:cs="Times New Roman"/>
                <w:b/>
                <w:bCs/>
                <w:color w:val="000000"/>
                <w:sz w:val="22"/>
                <w:lang w:eastAsia="lv-LV"/>
              </w:rPr>
              <w:t>Kopējās izmaksas</w:t>
            </w:r>
          </w:p>
        </w:tc>
        <w:tc>
          <w:tcPr>
            <w:tcW w:w="1418" w:type="dxa"/>
            <w:tcBorders>
              <w:top w:val="nil"/>
              <w:left w:val="nil"/>
              <w:bottom w:val="single" w:sz="8" w:space="0" w:color="auto"/>
              <w:right w:val="single" w:sz="8" w:space="0" w:color="auto"/>
            </w:tcBorders>
            <w:shd w:val="clear" w:color="auto" w:fill="auto"/>
            <w:vAlign w:val="center"/>
            <w:hideMark/>
          </w:tcPr>
          <w:p w14:paraId="00DA77E1" w14:textId="77777777" w:rsidR="00031F10" w:rsidRPr="00031F10" w:rsidRDefault="00031F10" w:rsidP="00031F10">
            <w:pPr>
              <w:jc w:val="center"/>
              <w:rPr>
                <w:rFonts w:eastAsia="Times New Roman" w:cs="Times New Roman"/>
                <w:b/>
                <w:bCs/>
                <w:color w:val="000000"/>
                <w:sz w:val="22"/>
                <w:lang w:eastAsia="lv-LV"/>
              </w:rPr>
            </w:pPr>
            <w:r w:rsidRPr="00031F10">
              <w:rPr>
                <w:rFonts w:eastAsia="Times New Roman" w:cs="Times New Roman"/>
                <w:b/>
                <w:bCs/>
                <w:color w:val="000000"/>
                <w:sz w:val="22"/>
                <w:lang w:eastAsia="lv-LV"/>
              </w:rPr>
              <w:t>2 196,10</w:t>
            </w:r>
          </w:p>
        </w:tc>
        <w:tc>
          <w:tcPr>
            <w:tcW w:w="1128" w:type="dxa"/>
            <w:tcBorders>
              <w:top w:val="nil"/>
              <w:left w:val="nil"/>
              <w:bottom w:val="single" w:sz="8" w:space="0" w:color="auto"/>
              <w:right w:val="single" w:sz="8" w:space="0" w:color="auto"/>
            </w:tcBorders>
            <w:shd w:val="clear" w:color="auto" w:fill="auto"/>
            <w:vAlign w:val="center"/>
            <w:hideMark/>
          </w:tcPr>
          <w:p w14:paraId="5835A072" w14:textId="77777777" w:rsidR="00031F10" w:rsidRPr="00031F10" w:rsidRDefault="00031F10" w:rsidP="00031F10">
            <w:pPr>
              <w:jc w:val="center"/>
              <w:rPr>
                <w:rFonts w:eastAsia="Times New Roman" w:cs="Times New Roman"/>
                <w:b/>
                <w:bCs/>
                <w:color w:val="000000"/>
                <w:sz w:val="22"/>
                <w:lang w:eastAsia="lv-LV"/>
              </w:rPr>
            </w:pPr>
            <w:r w:rsidRPr="00031F10">
              <w:rPr>
                <w:rFonts w:eastAsia="Times New Roman" w:cs="Times New Roman"/>
                <w:b/>
                <w:bCs/>
                <w:color w:val="000000"/>
                <w:sz w:val="22"/>
                <w:lang w:eastAsia="lv-LV"/>
              </w:rPr>
              <w:t>2 113</w:t>
            </w:r>
          </w:p>
        </w:tc>
        <w:tc>
          <w:tcPr>
            <w:tcW w:w="998" w:type="dxa"/>
            <w:tcBorders>
              <w:top w:val="nil"/>
              <w:left w:val="nil"/>
              <w:bottom w:val="single" w:sz="8" w:space="0" w:color="auto"/>
              <w:right w:val="single" w:sz="8" w:space="0" w:color="auto"/>
            </w:tcBorders>
            <w:shd w:val="clear" w:color="auto" w:fill="auto"/>
            <w:vAlign w:val="center"/>
            <w:hideMark/>
          </w:tcPr>
          <w:p w14:paraId="1C59079D" w14:textId="77777777" w:rsidR="00031F10" w:rsidRPr="00031F10" w:rsidRDefault="00031F10" w:rsidP="00031F10">
            <w:pPr>
              <w:jc w:val="center"/>
              <w:rPr>
                <w:rFonts w:eastAsia="Times New Roman" w:cs="Times New Roman"/>
                <w:b/>
                <w:bCs/>
                <w:i/>
                <w:iCs/>
                <w:color w:val="000000"/>
                <w:sz w:val="22"/>
                <w:lang w:eastAsia="lv-LV"/>
              </w:rPr>
            </w:pPr>
            <w:r w:rsidRPr="00031F10">
              <w:rPr>
                <w:rFonts w:eastAsia="Times New Roman" w:cs="Times New Roman"/>
                <w:b/>
                <w:bCs/>
                <w:i/>
                <w:iCs/>
                <w:color w:val="000000"/>
                <w:sz w:val="22"/>
                <w:lang w:eastAsia="lv-LV"/>
              </w:rPr>
              <w:t>-83,1</w:t>
            </w:r>
          </w:p>
        </w:tc>
        <w:tc>
          <w:tcPr>
            <w:tcW w:w="992" w:type="dxa"/>
            <w:tcBorders>
              <w:top w:val="nil"/>
              <w:left w:val="nil"/>
              <w:bottom w:val="single" w:sz="8" w:space="0" w:color="auto"/>
              <w:right w:val="single" w:sz="8" w:space="0" w:color="auto"/>
            </w:tcBorders>
            <w:shd w:val="clear" w:color="auto" w:fill="auto"/>
            <w:vAlign w:val="center"/>
            <w:hideMark/>
          </w:tcPr>
          <w:p w14:paraId="1E85DAF1" w14:textId="77777777" w:rsidR="00031F10" w:rsidRPr="00031F10" w:rsidRDefault="00031F10" w:rsidP="00031F10">
            <w:pPr>
              <w:jc w:val="center"/>
              <w:rPr>
                <w:rFonts w:eastAsia="Times New Roman" w:cs="Times New Roman"/>
                <w:b/>
                <w:bCs/>
                <w:i/>
                <w:iCs/>
                <w:color w:val="000000"/>
                <w:sz w:val="22"/>
                <w:lang w:eastAsia="lv-LV"/>
              </w:rPr>
            </w:pPr>
            <w:r w:rsidRPr="00031F10">
              <w:rPr>
                <w:rFonts w:eastAsia="Times New Roman" w:cs="Times New Roman"/>
                <w:b/>
                <w:bCs/>
                <w:i/>
                <w:iCs/>
                <w:color w:val="000000"/>
                <w:sz w:val="22"/>
                <w:lang w:eastAsia="lv-LV"/>
              </w:rPr>
              <w:t>-3,8%</w:t>
            </w:r>
          </w:p>
        </w:tc>
      </w:tr>
      <w:tr w:rsidR="00031F10" w:rsidRPr="00031F10" w14:paraId="3ADFFE29" w14:textId="77777777" w:rsidTr="00031F10">
        <w:trPr>
          <w:trHeight w:val="30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E15A476" w14:textId="77777777" w:rsidR="00031F10" w:rsidRPr="00031F10" w:rsidRDefault="00031F10" w:rsidP="00031F10">
            <w:pPr>
              <w:jc w:val="left"/>
              <w:rPr>
                <w:rFonts w:eastAsia="Times New Roman" w:cs="Times New Roman"/>
                <w:b/>
                <w:bCs/>
                <w:color w:val="000000"/>
                <w:sz w:val="22"/>
                <w:lang w:eastAsia="lv-LV"/>
              </w:rPr>
            </w:pPr>
            <w:r w:rsidRPr="00031F10">
              <w:rPr>
                <w:rFonts w:eastAsia="Times New Roman" w:cs="Times New Roman"/>
                <w:b/>
                <w:bCs/>
                <w:color w:val="000000"/>
                <w:sz w:val="22"/>
                <w:lang w:eastAsia="lv-LV"/>
              </w:rPr>
              <w:t>1. Kapitāla izmaksas</w:t>
            </w:r>
          </w:p>
        </w:tc>
        <w:tc>
          <w:tcPr>
            <w:tcW w:w="1418" w:type="dxa"/>
            <w:tcBorders>
              <w:top w:val="nil"/>
              <w:left w:val="nil"/>
              <w:bottom w:val="single" w:sz="8" w:space="0" w:color="auto"/>
              <w:right w:val="single" w:sz="8" w:space="0" w:color="auto"/>
            </w:tcBorders>
            <w:shd w:val="clear" w:color="auto" w:fill="auto"/>
            <w:vAlign w:val="center"/>
            <w:hideMark/>
          </w:tcPr>
          <w:p w14:paraId="0F530927" w14:textId="77777777" w:rsidR="00031F10" w:rsidRPr="00031F10" w:rsidRDefault="00031F10" w:rsidP="00031F10">
            <w:pPr>
              <w:jc w:val="center"/>
              <w:rPr>
                <w:rFonts w:eastAsia="Times New Roman" w:cs="Times New Roman"/>
                <w:b/>
                <w:bCs/>
                <w:color w:val="000000"/>
                <w:sz w:val="22"/>
                <w:lang w:eastAsia="lv-LV"/>
              </w:rPr>
            </w:pPr>
            <w:r w:rsidRPr="00031F10">
              <w:rPr>
                <w:rFonts w:eastAsia="Times New Roman" w:cs="Times New Roman"/>
                <w:b/>
                <w:bCs/>
                <w:color w:val="000000"/>
                <w:sz w:val="22"/>
                <w:lang w:eastAsia="lv-LV"/>
              </w:rPr>
              <w:t>251,6</w:t>
            </w:r>
          </w:p>
        </w:tc>
        <w:tc>
          <w:tcPr>
            <w:tcW w:w="1128" w:type="dxa"/>
            <w:tcBorders>
              <w:top w:val="nil"/>
              <w:left w:val="nil"/>
              <w:bottom w:val="single" w:sz="8" w:space="0" w:color="auto"/>
              <w:right w:val="single" w:sz="8" w:space="0" w:color="auto"/>
            </w:tcBorders>
            <w:shd w:val="clear" w:color="auto" w:fill="auto"/>
            <w:vAlign w:val="center"/>
            <w:hideMark/>
          </w:tcPr>
          <w:p w14:paraId="7F92DF2D" w14:textId="77777777" w:rsidR="00031F10" w:rsidRPr="00031F10" w:rsidRDefault="00031F10" w:rsidP="00031F10">
            <w:pPr>
              <w:jc w:val="center"/>
              <w:rPr>
                <w:rFonts w:eastAsia="Times New Roman" w:cs="Times New Roman"/>
                <w:b/>
                <w:bCs/>
                <w:color w:val="000000"/>
                <w:sz w:val="22"/>
                <w:lang w:eastAsia="lv-LV"/>
              </w:rPr>
            </w:pPr>
            <w:r w:rsidRPr="00031F10">
              <w:rPr>
                <w:rFonts w:eastAsia="Times New Roman" w:cs="Times New Roman"/>
                <w:b/>
                <w:bCs/>
                <w:color w:val="000000"/>
                <w:sz w:val="22"/>
                <w:lang w:eastAsia="lv-LV"/>
              </w:rPr>
              <w:t>221,7</w:t>
            </w:r>
          </w:p>
        </w:tc>
        <w:tc>
          <w:tcPr>
            <w:tcW w:w="998" w:type="dxa"/>
            <w:tcBorders>
              <w:top w:val="nil"/>
              <w:left w:val="nil"/>
              <w:bottom w:val="single" w:sz="8" w:space="0" w:color="auto"/>
              <w:right w:val="single" w:sz="8" w:space="0" w:color="auto"/>
            </w:tcBorders>
            <w:shd w:val="clear" w:color="auto" w:fill="auto"/>
            <w:vAlign w:val="center"/>
            <w:hideMark/>
          </w:tcPr>
          <w:p w14:paraId="4088C286" w14:textId="77777777" w:rsidR="00031F10" w:rsidRPr="00031F10" w:rsidRDefault="00031F10" w:rsidP="00031F10">
            <w:pPr>
              <w:jc w:val="center"/>
              <w:rPr>
                <w:rFonts w:eastAsia="Times New Roman" w:cs="Times New Roman"/>
                <w:b/>
                <w:bCs/>
                <w:i/>
                <w:iCs/>
                <w:color w:val="000000"/>
                <w:sz w:val="22"/>
                <w:lang w:eastAsia="lv-LV"/>
              </w:rPr>
            </w:pPr>
            <w:r w:rsidRPr="00031F10">
              <w:rPr>
                <w:rFonts w:eastAsia="Times New Roman" w:cs="Times New Roman"/>
                <w:b/>
                <w:bCs/>
                <w:i/>
                <w:iCs/>
                <w:color w:val="000000"/>
                <w:sz w:val="22"/>
                <w:lang w:eastAsia="lv-LV"/>
              </w:rPr>
              <w:t>-29,9</w:t>
            </w:r>
          </w:p>
        </w:tc>
        <w:tc>
          <w:tcPr>
            <w:tcW w:w="992" w:type="dxa"/>
            <w:tcBorders>
              <w:top w:val="nil"/>
              <w:left w:val="nil"/>
              <w:bottom w:val="single" w:sz="8" w:space="0" w:color="auto"/>
              <w:right w:val="single" w:sz="8" w:space="0" w:color="auto"/>
            </w:tcBorders>
            <w:shd w:val="clear" w:color="auto" w:fill="auto"/>
            <w:vAlign w:val="center"/>
            <w:hideMark/>
          </w:tcPr>
          <w:p w14:paraId="599B6E36" w14:textId="77777777" w:rsidR="00031F10" w:rsidRPr="00031F10" w:rsidRDefault="00031F10" w:rsidP="00031F10">
            <w:pPr>
              <w:jc w:val="center"/>
              <w:rPr>
                <w:rFonts w:eastAsia="Times New Roman" w:cs="Times New Roman"/>
                <w:b/>
                <w:bCs/>
                <w:i/>
                <w:iCs/>
                <w:color w:val="000000"/>
                <w:sz w:val="22"/>
                <w:lang w:eastAsia="lv-LV"/>
              </w:rPr>
            </w:pPr>
            <w:r w:rsidRPr="00031F10">
              <w:rPr>
                <w:rFonts w:eastAsia="Times New Roman" w:cs="Times New Roman"/>
                <w:b/>
                <w:bCs/>
                <w:i/>
                <w:iCs/>
                <w:color w:val="000000"/>
                <w:sz w:val="22"/>
                <w:lang w:eastAsia="lv-LV"/>
              </w:rPr>
              <w:t>-11,9%</w:t>
            </w:r>
          </w:p>
        </w:tc>
      </w:tr>
      <w:tr w:rsidR="00031F10" w:rsidRPr="00031F10" w14:paraId="0118217A" w14:textId="77777777" w:rsidTr="00031F10">
        <w:trPr>
          <w:trHeight w:val="53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E263DFE" w14:textId="77777777" w:rsidR="00031F10" w:rsidRPr="00031F10" w:rsidRDefault="00031F10" w:rsidP="00031F10">
            <w:pPr>
              <w:jc w:val="left"/>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1.1. Pamatlīdzekļu nolietojums un nemateriālo ieguldījumu vērtības norakstījums</w:t>
            </w:r>
          </w:p>
        </w:tc>
        <w:tc>
          <w:tcPr>
            <w:tcW w:w="1418" w:type="dxa"/>
            <w:tcBorders>
              <w:top w:val="nil"/>
              <w:left w:val="nil"/>
              <w:bottom w:val="single" w:sz="8" w:space="0" w:color="auto"/>
              <w:right w:val="single" w:sz="8" w:space="0" w:color="auto"/>
            </w:tcBorders>
            <w:shd w:val="clear" w:color="auto" w:fill="auto"/>
            <w:vAlign w:val="center"/>
            <w:hideMark/>
          </w:tcPr>
          <w:p w14:paraId="5C24FD9B"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186,6</w:t>
            </w:r>
          </w:p>
        </w:tc>
        <w:tc>
          <w:tcPr>
            <w:tcW w:w="1128" w:type="dxa"/>
            <w:tcBorders>
              <w:top w:val="nil"/>
              <w:left w:val="nil"/>
              <w:bottom w:val="single" w:sz="8" w:space="0" w:color="auto"/>
              <w:right w:val="single" w:sz="8" w:space="0" w:color="auto"/>
            </w:tcBorders>
            <w:shd w:val="clear" w:color="auto" w:fill="auto"/>
            <w:vAlign w:val="center"/>
            <w:hideMark/>
          </w:tcPr>
          <w:p w14:paraId="12221654"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114,7</w:t>
            </w:r>
          </w:p>
        </w:tc>
        <w:tc>
          <w:tcPr>
            <w:tcW w:w="998" w:type="dxa"/>
            <w:tcBorders>
              <w:top w:val="nil"/>
              <w:left w:val="nil"/>
              <w:bottom w:val="single" w:sz="8" w:space="0" w:color="auto"/>
              <w:right w:val="single" w:sz="8" w:space="0" w:color="auto"/>
            </w:tcBorders>
            <w:shd w:val="clear" w:color="auto" w:fill="auto"/>
            <w:vAlign w:val="center"/>
            <w:hideMark/>
          </w:tcPr>
          <w:p w14:paraId="40BF4106"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-71,9</w:t>
            </w:r>
          </w:p>
        </w:tc>
        <w:tc>
          <w:tcPr>
            <w:tcW w:w="992" w:type="dxa"/>
            <w:tcBorders>
              <w:top w:val="nil"/>
              <w:left w:val="nil"/>
              <w:bottom w:val="single" w:sz="8" w:space="0" w:color="auto"/>
              <w:right w:val="single" w:sz="8" w:space="0" w:color="auto"/>
            </w:tcBorders>
            <w:shd w:val="clear" w:color="auto" w:fill="auto"/>
            <w:vAlign w:val="center"/>
            <w:hideMark/>
          </w:tcPr>
          <w:p w14:paraId="042E58FA"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-38,5%</w:t>
            </w:r>
          </w:p>
        </w:tc>
      </w:tr>
      <w:tr w:rsidR="00031F10" w:rsidRPr="00031F10" w14:paraId="6C092C0A" w14:textId="77777777" w:rsidTr="00031F10">
        <w:trPr>
          <w:trHeight w:val="30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5C8F0B5" w14:textId="77777777" w:rsidR="00031F10" w:rsidRPr="00031F10" w:rsidRDefault="00031F10" w:rsidP="00031F10">
            <w:pPr>
              <w:jc w:val="left"/>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1.2. Kapitāla atdeve</w:t>
            </w:r>
          </w:p>
        </w:tc>
        <w:tc>
          <w:tcPr>
            <w:tcW w:w="1418" w:type="dxa"/>
            <w:tcBorders>
              <w:top w:val="nil"/>
              <w:left w:val="nil"/>
              <w:bottom w:val="single" w:sz="8" w:space="0" w:color="auto"/>
              <w:right w:val="single" w:sz="8" w:space="0" w:color="auto"/>
            </w:tcBorders>
            <w:shd w:val="clear" w:color="auto" w:fill="auto"/>
            <w:vAlign w:val="center"/>
            <w:hideMark/>
          </w:tcPr>
          <w:p w14:paraId="58C709C0"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65</w:t>
            </w:r>
          </w:p>
        </w:tc>
        <w:tc>
          <w:tcPr>
            <w:tcW w:w="1128" w:type="dxa"/>
            <w:tcBorders>
              <w:top w:val="nil"/>
              <w:left w:val="nil"/>
              <w:bottom w:val="single" w:sz="8" w:space="0" w:color="auto"/>
              <w:right w:val="single" w:sz="8" w:space="0" w:color="auto"/>
            </w:tcBorders>
            <w:shd w:val="clear" w:color="auto" w:fill="auto"/>
            <w:vAlign w:val="center"/>
            <w:hideMark/>
          </w:tcPr>
          <w:p w14:paraId="66CDE05B"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107,0</w:t>
            </w:r>
          </w:p>
        </w:tc>
        <w:tc>
          <w:tcPr>
            <w:tcW w:w="998" w:type="dxa"/>
            <w:tcBorders>
              <w:top w:val="nil"/>
              <w:left w:val="nil"/>
              <w:bottom w:val="single" w:sz="8" w:space="0" w:color="auto"/>
              <w:right w:val="single" w:sz="8" w:space="0" w:color="auto"/>
            </w:tcBorders>
            <w:shd w:val="clear" w:color="auto" w:fill="auto"/>
            <w:vAlign w:val="center"/>
            <w:hideMark/>
          </w:tcPr>
          <w:p w14:paraId="0324DDE0"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42,0</w:t>
            </w:r>
          </w:p>
        </w:tc>
        <w:tc>
          <w:tcPr>
            <w:tcW w:w="992" w:type="dxa"/>
            <w:tcBorders>
              <w:top w:val="nil"/>
              <w:left w:val="nil"/>
              <w:bottom w:val="single" w:sz="8" w:space="0" w:color="auto"/>
              <w:right w:val="single" w:sz="8" w:space="0" w:color="auto"/>
            </w:tcBorders>
            <w:shd w:val="clear" w:color="auto" w:fill="auto"/>
            <w:vAlign w:val="center"/>
            <w:hideMark/>
          </w:tcPr>
          <w:p w14:paraId="3860938C"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64,6%</w:t>
            </w:r>
          </w:p>
        </w:tc>
      </w:tr>
      <w:tr w:rsidR="00031F10" w:rsidRPr="00031F10" w14:paraId="14787C82" w14:textId="77777777" w:rsidTr="00031F10">
        <w:trPr>
          <w:trHeight w:val="30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6EB65BB" w14:textId="77777777" w:rsidR="00031F10" w:rsidRPr="00031F10" w:rsidRDefault="00031F10" w:rsidP="00031F10">
            <w:pPr>
              <w:jc w:val="left"/>
              <w:rPr>
                <w:rFonts w:eastAsia="Times New Roman" w:cs="Times New Roman"/>
                <w:b/>
                <w:bCs/>
                <w:color w:val="000000"/>
                <w:sz w:val="22"/>
                <w:lang w:eastAsia="lv-LV"/>
              </w:rPr>
            </w:pPr>
            <w:r w:rsidRPr="00031F10">
              <w:rPr>
                <w:rFonts w:eastAsia="Times New Roman" w:cs="Times New Roman"/>
                <w:b/>
                <w:bCs/>
                <w:color w:val="000000"/>
                <w:sz w:val="22"/>
                <w:lang w:eastAsia="lv-LV"/>
              </w:rPr>
              <w:t>2. Nodokļu izmaksas</w:t>
            </w:r>
          </w:p>
        </w:tc>
        <w:tc>
          <w:tcPr>
            <w:tcW w:w="1418" w:type="dxa"/>
            <w:tcBorders>
              <w:top w:val="nil"/>
              <w:left w:val="nil"/>
              <w:bottom w:val="single" w:sz="8" w:space="0" w:color="auto"/>
              <w:right w:val="single" w:sz="8" w:space="0" w:color="auto"/>
            </w:tcBorders>
            <w:shd w:val="clear" w:color="auto" w:fill="auto"/>
            <w:vAlign w:val="center"/>
            <w:hideMark/>
          </w:tcPr>
          <w:p w14:paraId="7FAA9890" w14:textId="77777777" w:rsidR="00031F10" w:rsidRPr="00031F10" w:rsidRDefault="00031F10" w:rsidP="00031F10">
            <w:pPr>
              <w:jc w:val="center"/>
              <w:rPr>
                <w:rFonts w:eastAsia="Times New Roman" w:cs="Times New Roman"/>
                <w:b/>
                <w:bCs/>
                <w:color w:val="000000"/>
                <w:sz w:val="22"/>
                <w:lang w:eastAsia="lv-LV"/>
              </w:rPr>
            </w:pPr>
            <w:r w:rsidRPr="00031F10">
              <w:rPr>
                <w:rFonts w:eastAsia="Times New Roman" w:cs="Times New Roman"/>
                <w:b/>
                <w:bCs/>
                <w:color w:val="000000"/>
                <w:sz w:val="22"/>
                <w:lang w:eastAsia="lv-LV"/>
              </w:rPr>
              <w:t>- </w:t>
            </w:r>
          </w:p>
        </w:tc>
        <w:tc>
          <w:tcPr>
            <w:tcW w:w="1128" w:type="dxa"/>
            <w:tcBorders>
              <w:top w:val="nil"/>
              <w:left w:val="nil"/>
              <w:bottom w:val="single" w:sz="8" w:space="0" w:color="auto"/>
              <w:right w:val="single" w:sz="8" w:space="0" w:color="auto"/>
            </w:tcBorders>
            <w:shd w:val="clear" w:color="auto" w:fill="auto"/>
            <w:vAlign w:val="center"/>
            <w:hideMark/>
          </w:tcPr>
          <w:p w14:paraId="4EABC027" w14:textId="77777777" w:rsidR="00031F10" w:rsidRPr="00031F10" w:rsidRDefault="00031F10" w:rsidP="00031F10">
            <w:pPr>
              <w:jc w:val="center"/>
              <w:rPr>
                <w:rFonts w:eastAsia="Times New Roman" w:cs="Times New Roman"/>
                <w:b/>
                <w:bCs/>
                <w:color w:val="000000"/>
                <w:sz w:val="22"/>
                <w:lang w:eastAsia="lv-LV"/>
              </w:rPr>
            </w:pPr>
            <w:r w:rsidRPr="00031F10">
              <w:rPr>
                <w:rFonts w:eastAsia="Times New Roman" w:cs="Times New Roman"/>
                <w:b/>
                <w:bCs/>
                <w:color w:val="000000"/>
                <w:sz w:val="22"/>
                <w:lang w:eastAsia="lv-LV"/>
              </w:rPr>
              <w:t> </w:t>
            </w:r>
          </w:p>
        </w:tc>
        <w:tc>
          <w:tcPr>
            <w:tcW w:w="998" w:type="dxa"/>
            <w:tcBorders>
              <w:top w:val="nil"/>
              <w:left w:val="nil"/>
              <w:bottom w:val="single" w:sz="8" w:space="0" w:color="auto"/>
              <w:right w:val="single" w:sz="8" w:space="0" w:color="auto"/>
            </w:tcBorders>
            <w:shd w:val="clear" w:color="auto" w:fill="auto"/>
            <w:vAlign w:val="center"/>
            <w:hideMark/>
          </w:tcPr>
          <w:p w14:paraId="2DF76B1D" w14:textId="77777777" w:rsidR="00031F10" w:rsidRPr="00031F10" w:rsidRDefault="00031F10" w:rsidP="00031F10">
            <w:pPr>
              <w:jc w:val="center"/>
              <w:rPr>
                <w:rFonts w:eastAsia="Times New Roman" w:cs="Times New Roman"/>
                <w:b/>
                <w:bCs/>
                <w:i/>
                <w:iCs/>
                <w:color w:val="000000"/>
                <w:sz w:val="22"/>
                <w:lang w:eastAsia="lv-LV"/>
              </w:rPr>
            </w:pPr>
            <w:r w:rsidRPr="00031F10">
              <w:rPr>
                <w:rFonts w:eastAsia="Times New Roman" w:cs="Times New Roman"/>
                <w:b/>
                <w:bCs/>
                <w:i/>
                <w:iCs/>
                <w:color w:val="000000"/>
                <w:sz w:val="22"/>
                <w:lang w:eastAsia="lv-LV"/>
              </w:rPr>
              <w:t>0,0</w:t>
            </w:r>
          </w:p>
        </w:tc>
        <w:tc>
          <w:tcPr>
            <w:tcW w:w="992" w:type="dxa"/>
            <w:tcBorders>
              <w:top w:val="nil"/>
              <w:left w:val="nil"/>
              <w:bottom w:val="single" w:sz="8" w:space="0" w:color="auto"/>
              <w:right w:val="single" w:sz="8" w:space="0" w:color="auto"/>
            </w:tcBorders>
            <w:shd w:val="clear" w:color="auto" w:fill="auto"/>
            <w:vAlign w:val="center"/>
            <w:hideMark/>
          </w:tcPr>
          <w:p w14:paraId="07D5144D" w14:textId="77777777" w:rsidR="00031F10" w:rsidRPr="00031F10" w:rsidRDefault="00031F10" w:rsidP="00031F10">
            <w:pPr>
              <w:jc w:val="center"/>
              <w:rPr>
                <w:rFonts w:eastAsia="Times New Roman" w:cs="Times New Roman"/>
                <w:b/>
                <w:bCs/>
                <w:i/>
                <w:iCs/>
                <w:color w:val="000000"/>
                <w:sz w:val="22"/>
                <w:lang w:eastAsia="lv-LV"/>
              </w:rPr>
            </w:pPr>
            <w:r w:rsidRPr="00031F10">
              <w:rPr>
                <w:rFonts w:eastAsia="Times New Roman" w:cs="Times New Roman"/>
                <w:b/>
                <w:bCs/>
                <w:i/>
                <w:iCs/>
                <w:color w:val="000000"/>
                <w:sz w:val="22"/>
                <w:lang w:eastAsia="lv-LV"/>
              </w:rPr>
              <w:t>0,0%</w:t>
            </w:r>
          </w:p>
        </w:tc>
      </w:tr>
      <w:tr w:rsidR="00031F10" w:rsidRPr="00031F10" w14:paraId="4176E27C" w14:textId="77777777" w:rsidTr="00031F10">
        <w:trPr>
          <w:trHeight w:val="30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D4D32FB" w14:textId="77777777" w:rsidR="00031F10" w:rsidRPr="00031F10" w:rsidRDefault="00031F10" w:rsidP="00031F10">
            <w:pPr>
              <w:jc w:val="left"/>
              <w:rPr>
                <w:rFonts w:eastAsia="Times New Roman" w:cs="Times New Roman"/>
                <w:b/>
                <w:bCs/>
                <w:color w:val="000000"/>
                <w:sz w:val="22"/>
                <w:lang w:eastAsia="lv-LV"/>
              </w:rPr>
            </w:pPr>
            <w:r w:rsidRPr="00031F10">
              <w:rPr>
                <w:rFonts w:eastAsia="Times New Roman" w:cs="Times New Roman"/>
                <w:b/>
                <w:bCs/>
                <w:color w:val="000000"/>
                <w:sz w:val="22"/>
                <w:lang w:eastAsia="lv-LV"/>
              </w:rPr>
              <w:t>3. Ekspluatācijas izmaksas, t.sk:</w:t>
            </w:r>
          </w:p>
        </w:tc>
        <w:tc>
          <w:tcPr>
            <w:tcW w:w="1418" w:type="dxa"/>
            <w:tcBorders>
              <w:top w:val="nil"/>
              <w:left w:val="nil"/>
              <w:bottom w:val="single" w:sz="8" w:space="0" w:color="auto"/>
              <w:right w:val="single" w:sz="8" w:space="0" w:color="auto"/>
            </w:tcBorders>
            <w:shd w:val="clear" w:color="auto" w:fill="auto"/>
            <w:vAlign w:val="center"/>
            <w:hideMark/>
          </w:tcPr>
          <w:p w14:paraId="45A9CA62" w14:textId="77777777" w:rsidR="00031F10" w:rsidRPr="00031F10" w:rsidRDefault="00031F10" w:rsidP="00031F10">
            <w:pPr>
              <w:jc w:val="center"/>
              <w:rPr>
                <w:rFonts w:eastAsia="Times New Roman" w:cs="Times New Roman"/>
                <w:b/>
                <w:bCs/>
                <w:color w:val="000000"/>
                <w:sz w:val="22"/>
                <w:lang w:eastAsia="lv-LV"/>
              </w:rPr>
            </w:pPr>
            <w:r w:rsidRPr="00031F10">
              <w:rPr>
                <w:rFonts w:eastAsia="Times New Roman" w:cs="Times New Roman"/>
                <w:b/>
                <w:bCs/>
                <w:color w:val="000000"/>
                <w:sz w:val="22"/>
                <w:lang w:eastAsia="lv-LV"/>
              </w:rPr>
              <w:t>1 944,50</w:t>
            </w:r>
          </w:p>
        </w:tc>
        <w:tc>
          <w:tcPr>
            <w:tcW w:w="1128" w:type="dxa"/>
            <w:tcBorders>
              <w:top w:val="nil"/>
              <w:left w:val="nil"/>
              <w:bottom w:val="single" w:sz="8" w:space="0" w:color="auto"/>
              <w:right w:val="single" w:sz="8" w:space="0" w:color="auto"/>
            </w:tcBorders>
            <w:shd w:val="clear" w:color="auto" w:fill="auto"/>
            <w:vAlign w:val="center"/>
            <w:hideMark/>
          </w:tcPr>
          <w:p w14:paraId="1DC5ED8A" w14:textId="77777777" w:rsidR="00031F10" w:rsidRPr="00031F10" w:rsidRDefault="00031F10" w:rsidP="00031F10">
            <w:pPr>
              <w:jc w:val="center"/>
              <w:rPr>
                <w:rFonts w:eastAsia="Times New Roman" w:cs="Times New Roman"/>
                <w:b/>
                <w:bCs/>
                <w:color w:val="000000"/>
                <w:sz w:val="22"/>
                <w:lang w:eastAsia="lv-LV"/>
              </w:rPr>
            </w:pPr>
            <w:r w:rsidRPr="00031F10">
              <w:rPr>
                <w:rFonts w:eastAsia="Times New Roman" w:cs="Times New Roman"/>
                <w:b/>
                <w:bCs/>
                <w:color w:val="000000"/>
                <w:sz w:val="22"/>
                <w:lang w:eastAsia="lv-LV"/>
              </w:rPr>
              <w:t>1913,7</w:t>
            </w:r>
          </w:p>
        </w:tc>
        <w:tc>
          <w:tcPr>
            <w:tcW w:w="998" w:type="dxa"/>
            <w:tcBorders>
              <w:top w:val="nil"/>
              <w:left w:val="nil"/>
              <w:bottom w:val="single" w:sz="8" w:space="0" w:color="auto"/>
              <w:right w:val="single" w:sz="8" w:space="0" w:color="auto"/>
            </w:tcBorders>
            <w:shd w:val="clear" w:color="auto" w:fill="auto"/>
            <w:vAlign w:val="center"/>
            <w:hideMark/>
          </w:tcPr>
          <w:p w14:paraId="4D369C1A" w14:textId="77777777" w:rsidR="00031F10" w:rsidRPr="00031F10" w:rsidRDefault="00031F10" w:rsidP="00031F10">
            <w:pPr>
              <w:jc w:val="center"/>
              <w:rPr>
                <w:rFonts w:eastAsia="Times New Roman" w:cs="Times New Roman"/>
                <w:b/>
                <w:bCs/>
                <w:i/>
                <w:iCs/>
                <w:color w:val="000000"/>
                <w:sz w:val="22"/>
                <w:lang w:eastAsia="lv-LV"/>
              </w:rPr>
            </w:pPr>
            <w:r w:rsidRPr="00031F10">
              <w:rPr>
                <w:rFonts w:eastAsia="Times New Roman" w:cs="Times New Roman"/>
                <w:b/>
                <w:bCs/>
                <w:i/>
                <w:iCs/>
                <w:color w:val="000000"/>
                <w:sz w:val="22"/>
                <w:lang w:eastAsia="lv-LV"/>
              </w:rPr>
              <w:t>-30,8</w:t>
            </w:r>
          </w:p>
        </w:tc>
        <w:tc>
          <w:tcPr>
            <w:tcW w:w="992" w:type="dxa"/>
            <w:tcBorders>
              <w:top w:val="nil"/>
              <w:left w:val="nil"/>
              <w:bottom w:val="single" w:sz="8" w:space="0" w:color="auto"/>
              <w:right w:val="single" w:sz="8" w:space="0" w:color="auto"/>
            </w:tcBorders>
            <w:shd w:val="clear" w:color="auto" w:fill="auto"/>
            <w:vAlign w:val="center"/>
            <w:hideMark/>
          </w:tcPr>
          <w:p w14:paraId="430F6A89" w14:textId="77777777" w:rsidR="00031F10" w:rsidRPr="00031F10" w:rsidRDefault="00031F10" w:rsidP="00031F10">
            <w:pPr>
              <w:jc w:val="center"/>
              <w:rPr>
                <w:rFonts w:eastAsia="Times New Roman" w:cs="Times New Roman"/>
                <w:b/>
                <w:bCs/>
                <w:i/>
                <w:iCs/>
                <w:color w:val="000000"/>
                <w:sz w:val="22"/>
                <w:lang w:eastAsia="lv-LV"/>
              </w:rPr>
            </w:pPr>
            <w:r w:rsidRPr="00031F10">
              <w:rPr>
                <w:rFonts w:eastAsia="Times New Roman" w:cs="Times New Roman"/>
                <w:b/>
                <w:bCs/>
                <w:i/>
                <w:iCs/>
                <w:color w:val="000000"/>
                <w:sz w:val="22"/>
                <w:lang w:eastAsia="lv-LV"/>
              </w:rPr>
              <w:t>-1,6%</w:t>
            </w:r>
          </w:p>
        </w:tc>
      </w:tr>
      <w:tr w:rsidR="00031F10" w:rsidRPr="00031F10" w14:paraId="0332C02B" w14:textId="77777777" w:rsidTr="00031F10">
        <w:trPr>
          <w:trHeight w:val="30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8DB8B4A" w14:textId="77777777" w:rsidR="00031F10" w:rsidRPr="00031F10" w:rsidRDefault="00031F10" w:rsidP="00031F10">
            <w:pPr>
              <w:jc w:val="left"/>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3.1. Pārvades sistēmas operatora pakalpojuma izmaksas</w:t>
            </w:r>
          </w:p>
        </w:tc>
        <w:tc>
          <w:tcPr>
            <w:tcW w:w="1418" w:type="dxa"/>
            <w:tcBorders>
              <w:top w:val="nil"/>
              <w:left w:val="nil"/>
              <w:bottom w:val="single" w:sz="8" w:space="0" w:color="auto"/>
              <w:right w:val="single" w:sz="8" w:space="0" w:color="auto"/>
            </w:tcBorders>
            <w:shd w:val="clear" w:color="auto" w:fill="auto"/>
            <w:vAlign w:val="center"/>
            <w:hideMark/>
          </w:tcPr>
          <w:p w14:paraId="697B39FF"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242,6</w:t>
            </w:r>
          </w:p>
        </w:tc>
        <w:tc>
          <w:tcPr>
            <w:tcW w:w="1128" w:type="dxa"/>
            <w:tcBorders>
              <w:top w:val="nil"/>
              <w:left w:val="nil"/>
              <w:bottom w:val="single" w:sz="8" w:space="0" w:color="auto"/>
              <w:right w:val="single" w:sz="8" w:space="0" w:color="auto"/>
            </w:tcBorders>
            <w:shd w:val="clear" w:color="auto" w:fill="auto"/>
            <w:vAlign w:val="center"/>
            <w:hideMark/>
          </w:tcPr>
          <w:p w14:paraId="376CDA9B"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251,3</w:t>
            </w:r>
          </w:p>
        </w:tc>
        <w:tc>
          <w:tcPr>
            <w:tcW w:w="998" w:type="dxa"/>
            <w:tcBorders>
              <w:top w:val="nil"/>
              <w:left w:val="nil"/>
              <w:bottom w:val="single" w:sz="8" w:space="0" w:color="auto"/>
              <w:right w:val="single" w:sz="8" w:space="0" w:color="auto"/>
            </w:tcBorders>
            <w:shd w:val="clear" w:color="auto" w:fill="auto"/>
            <w:vAlign w:val="center"/>
            <w:hideMark/>
          </w:tcPr>
          <w:p w14:paraId="660B4685"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8,7</w:t>
            </w:r>
          </w:p>
        </w:tc>
        <w:tc>
          <w:tcPr>
            <w:tcW w:w="992" w:type="dxa"/>
            <w:tcBorders>
              <w:top w:val="nil"/>
              <w:left w:val="nil"/>
              <w:bottom w:val="single" w:sz="8" w:space="0" w:color="auto"/>
              <w:right w:val="single" w:sz="8" w:space="0" w:color="auto"/>
            </w:tcBorders>
            <w:shd w:val="clear" w:color="auto" w:fill="auto"/>
            <w:vAlign w:val="center"/>
            <w:hideMark/>
          </w:tcPr>
          <w:p w14:paraId="599D50D4"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3,6%</w:t>
            </w:r>
          </w:p>
        </w:tc>
      </w:tr>
      <w:tr w:rsidR="00031F10" w:rsidRPr="00031F10" w14:paraId="0B9469DA" w14:textId="77777777" w:rsidTr="00031F10">
        <w:trPr>
          <w:trHeight w:val="30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D02DB5B" w14:textId="77777777" w:rsidR="00031F10" w:rsidRPr="00031F10" w:rsidRDefault="00031F10" w:rsidP="00031F10">
            <w:pPr>
              <w:jc w:val="left"/>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3.2. Citas sadales sistēmas operatora pakalpojuma izmaksas</w:t>
            </w:r>
          </w:p>
        </w:tc>
        <w:tc>
          <w:tcPr>
            <w:tcW w:w="1418" w:type="dxa"/>
            <w:tcBorders>
              <w:top w:val="nil"/>
              <w:left w:val="nil"/>
              <w:bottom w:val="single" w:sz="8" w:space="0" w:color="auto"/>
              <w:right w:val="single" w:sz="8" w:space="0" w:color="auto"/>
            </w:tcBorders>
            <w:shd w:val="clear" w:color="auto" w:fill="auto"/>
            <w:vAlign w:val="center"/>
            <w:hideMark/>
          </w:tcPr>
          <w:p w14:paraId="01A61293"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665,5</w:t>
            </w:r>
          </w:p>
        </w:tc>
        <w:tc>
          <w:tcPr>
            <w:tcW w:w="1128" w:type="dxa"/>
            <w:tcBorders>
              <w:top w:val="nil"/>
              <w:left w:val="nil"/>
              <w:bottom w:val="single" w:sz="8" w:space="0" w:color="auto"/>
              <w:right w:val="single" w:sz="8" w:space="0" w:color="auto"/>
            </w:tcBorders>
            <w:shd w:val="clear" w:color="auto" w:fill="auto"/>
            <w:vAlign w:val="center"/>
            <w:hideMark/>
          </w:tcPr>
          <w:p w14:paraId="5B2333B8"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761,1</w:t>
            </w:r>
          </w:p>
        </w:tc>
        <w:tc>
          <w:tcPr>
            <w:tcW w:w="998" w:type="dxa"/>
            <w:tcBorders>
              <w:top w:val="nil"/>
              <w:left w:val="nil"/>
              <w:bottom w:val="single" w:sz="8" w:space="0" w:color="auto"/>
              <w:right w:val="single" w:sz="8" w:space="0" w:color="auto"/>
            </w:tcBorders>
            <w:shd w:val="clear" w:color="auto" w:fill="auto"/>
            <w:vAlign w:val="center"/>
            <w:hideMark/>
          </w:tcPr>
          <w:p w14:paraId="7083FB06"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95,6</w:t>
            </w:r>
          </w:p>
        </w:tc>
        <w:tc>
          <w:tcPr>
            <w:tcW w:w="992" w:type="dxa"/>
            <w:tcBorders>
              <w:top w:val="nil"/>
              <w:left w:val="nil"/>
              <w:bottom w:val="single" w:sz="8" w:space="0" w:color="auto"/>
              <w:right w:val="single" w:sz="8" w:space="0" w:color="auto"/>
            </w:tcBorders>
            <w:shd w:val="clear" w:color="auto" w:fill="auto"/>
            <w:vAlign w:val="center"/>
            <w:hideMark/>
          </w:tcPr>
          <w:p w14:paraId="1242110A"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14,4%</w:t>
            </w:r>
          </w:p>
        </w:tc>
      </w:tr>
      <w:tr w:rsidR="00031F10" w:rsidRPr="00031F10" w14:paraId="1A7CBF10" w14:textId="77777777" w:rsidTr="00031F10">
        <w:trPr>
          <w:trHeight w:val="53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7AD9308" w14:textId="77777777" w:rsidR="00031F10" w:rsidRPr="00031F10" w:rsidRDefault="00031F10" w:rsidP="00031F10">
            <w:pPr>
              <w:jc w:val="left"/>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3.3. Elektroenerģijas sadales sistēmas zudumu un tehnoloģiskā procesa nodrošināšanas izmaksas</w:t>
            </w:r>
          </w:p>
        </w:tc>
        <w:tc>
          <w:tcPr>
            <w:tcW w:w="1418" w:type="dxa"/>
            <w:tcBorders>
              <w:top w:val="nil"/>
              <w:left w:val="nil"/>
              <w:bottom w:val="single" w:sz="8" w:space="0" w:color="auto"/>
              <w:right w:val="single" w:sz="8" w:space="0" w:color="auto"/>
            </w:tcBorders>
            <w:shd w:val="clear" w:color="auto" w:fill="auto"/>
            <w:vAlign w:val="center"/>
            <w:hideMark/>
          </w:tcPr>
          <w:p w14:paraId="38EE74A5"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72,1</w:t>
            </w:r>
          </w:p>
        </w:tc>
        <w:tc>
          <w:tcPr>
            <w:tcW w:w="1128" w:type="dxa"/>
            <w:tcBorders>
              <w:top w:val="nil"/>
              <w:left w:val="nil"/>
              <w:bottom w:val="single" w:sz="8" w:space="0" w:color="auto"/>
              <w:right w:val="single" w:sz="8" w:space="0" w:color="auto"/>
            </w:tcBorders>
            <w:shd w:val="clear" w:color="auto" w:fill="auto"/>
            <w:vAlign w:val="center"/>
            <w:hideMark/>
          </w:tcPr>
          <w:p w14:paraId="2EFDB682"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59,7</w:t>
            </w:r>
          </w:p>
        </w:tc>
        <w:tc>
          <w:tcPr>
            <w:tcW w:w="998" w:type="dxa"/>
            <w:tcBorders>
              <w:top w:val="nil"/>
              <w:left w:val="nil"/>
              <w:bottom w:val="single" w:sz="8" w:space="0" w:color="auto"/>
              <w:right w:val="single" w:sz="8" w:space="0" w:color="auto"/>
            </w:tcBorders>
            <w:shd w:val="clear" w:color="auto" w:fill="auto"/>
            <w:vAlign w:val="center"/>
            <w:hideMark/>
          </w:tcPr>
          <w:p w14:paraId="564F6787"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-12,4</w:t>
            </w:r>
          </w:p>
        </w:tc>
        <w:tc>
          <w:tcPr>
            <w:tcW w:w="992" w:type="dxa"/>
            <w:tcBorders>
              <w:top w:val="nil"/>
              <w:left w:val="nil"/>
              <w:bottom w:val="single" w:sz="8" w:space="0" w:color="auto"/>
              <w:right w:val="single" w:sz="8" w:space="0" w:color="auto"/>
            </w:tcBorders>
            <w:shd w:val="clear" w:color="auto" w:fill="auto"/>
            <w:vAlign w:val="center"/>
            <w:hideMark/>
          </w:tcPr>
          <w:p w14:paraId="3F4378C4"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-17,2%</w:t>
            </w:r>
          </w:p>
        </w:tc>
      </w:tr>
      <w:tr w:rsidR="00031F10" w:rsidRPr="00031F10" w14:paraId="271F3D67" w14:textId="77777777" w:rsidTr="00031F10">
        <w:trPr>
          <w:trHeight w:val="30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EBA83B5" w14:textId="77777777" w:rsidR="00031F10" w:rsidRPr="00031F10" w:rsidRDefault="00031F10" w:rsidP="00031F10">
            <w:pPr>
              <w:jc w:val="left"/>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3.4. Personāla un sociālās izmaksas</w:t>
            </w:r>
          </w:p>
        </w:tc>
        <w:tc>
          <w:tcPr>
            <w:tcW w:w="1418" w:type="dxa"/>
            <w:tcBorders>
              <w:top w:val="nil"/>
              <w:left w:val="nil"/>
              <w:bottom w:val="single" w:sz="8" w:space="0" w:color="auto"/>
              <w:right w:val="single" w:sz="8" w:space="0" w:color="auto"/>
            </w:tcBorders>
            <w:shd w:val="clear" w:color="auto" w:fill="auto"/>
            <w:vAlign w:val="center"/>
            <w:hideMark/>
          </w:tcPr>
          <w:p w14:paraId="145B87C1"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725,8</w:t>
            </w:r>
          </w:p>
        </w:tc>
        <w:tc>
          <w:tcPr>
            <w:tcW w:w="1128" w:type="dxa"/>
            <w:tcBorders>
              <w:top w:val="nil"/>
              <w:left w:val="nil"/>
              <w:bottom w:val="single" w:sz="8" w:space="0" w:color="auto"/>
              <w:right w:val="single" w:sz="8" w:space="0" w:color="auto"/>
            </w:tcBorders>
            <w:shd w:val="clear" w:color="auto" w:fill="auto"/>
            <w:vAlign w:val="center"/>
            <w:hideMark/>
          </w:tcPr>
          <w:p w14:paraId="1673B827"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645,3</w:t>
            </w:r>
          </w:p>
        </w:tc>
        <w:tc>
          <w:tcPr>
            <w:tcW w:w="998" w:type="dxa"/>
            <w:tcBorders>
              <w:top w:val="nil"/>
              <w:left w:val="nil"/>
              <w:bottom w:val="single" w:sz="8" w:space="0" w:color="auto"/>
              <w:right w:val="single" w:sz="8" w:space="0" w:color="auto"/>
            </w:tcBorders>
            <w:shd w:val="clear" w:color="auto" w:fill="auto"/>
            <w:vAlign w:val="center"/>
            <w:hideMark/>
          </w:tcPr>
          <w:p w14:paraId="706C7D1E"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-80,5</w:t>
            </w:r>
          </w:p>
        </w:tc>
        <w:tc>
          <w:tcPr>
            <w:tcW w:w="992" w:type="dxa"/>
            <w:tcBorders>
              <w:top w:val="nil"/>
              <w:left w:val="nil"/>
              <w:bottom w:val="single" w:sz="8" w:space="0" w:color="auto"/>
              <w:right w:val="single" w:sz="8" w:space="0" w:color="auto"/>
            </w:tcBorders>
            <w:shd w:val="clear" w:color="auto" w:fill="auto"/>
            <w:vAlign w:val="center"/>
            <w:hideMark/>
          </w:tcPr>
          <w:p w14:paraId="0D08D6A5"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-11,1%</w:t>
            </w:r>
          </w:p>
        </w:tc>
      </w:tr>
      <w:tr w:rsidR="00031F10" w:rsidRPr="00031F10" w14:paraId="78C314DB" w14:textId="77777777" w:rsidTr="00031F10">
        <w:trPr>
          <w:trHeight w:val="53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4835A80" w14:textId="77777777" w:rsidR="00031F10" w:rsidRPr="00031F10" w:rsidRDefault="00031F10" w:rsidP="00031F10">
            <w:pPr>
              <w:jc w:val="left"/>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3.5. Īpašuma uzturēšanai nepieciešamo un citu komersantu veikto kārtējo ekspluatācijas remontu izmaksas</w:t>
            </w:r>
          </w:p>
        </w:tc>
        <w:tc>
          <w:tcPr>
            <w:tcW w:w="1418" w:type="dxa"/>
            <w:tcBorders>
              <w:top w:val="nil"/>
              <w:left w:val="nil"/>
              <w:bottom w:val="single" w:sz="8" w:space="0" w:color="auto"/>
              <w:right w:val="single" w:sz="8" w:space="0" w:color="auto"/>
            </w:tcBorders>
            <w:shd w:val="clear" w:color="auto" w:fill="auto"/>
            <w:vAlign w:val="center"/>
            <w:hideMark/>
          </w:tcPr>
          <w:p w14:paraId="6E33E8A4"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129,5</w:t>
            </w:r>
          </w:p>
        </w:tc>
        <w:tc>
          <w:tcPr>
            <w:tcW w:w="1128" w:type="dxa"/>
            <w:tcBorders>
              <w:top w:val="nil"/>
              <w:left w:val="nil"/>
              <w:bottom w:val="single" w:sz="8" w:space="0" w:color="auto"/>
              <w:right w:val="single" w:sz="8" w:space="0" w:color="auto"/>
            </w:tcBorders>
            <w:shd w:val="clear" w:color="auto" w:fill="auto"/>
            <w:vAlign w:val="center"/>
            <w:hideMark/>
          </w:tcPr>
          <w:p w14:paraId="5870DD6D"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29,1</w:t>
            </w:r>
          </w:p>
        </w:tc>
        <w:tc>
          <w:tcPr>
            <w:tcW w:w="998" w:type="dxa"/>
            <w:tcBorders>
              <w:top w:val="nil"/>
              <w:left w:val="nil"/>
              <w:bottom w:val="single" w:sz="8" w:space="0" w:color="auto"/>
              <w:right w:val="single" w:sz="8" w:space="0" w:color="auto"/>
            </w:tcBorders>
            <w:shd w:val="clear" w:color="auto" w:fill="auto"/>
            <w:vAlign w:val="center"/>
            <w:hideMark/>
          </w:tcPr>
          <w:p w14:paraId="7CEB968E"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-100,4</w:t>
            </w:r>
          </w:p>
        </w:tc>
        <w:tc>
          <w:tcPr>
            <w:tcW w:w="992" w:type="dxa"/>
            <w:tcBorders>
              <w:top w:val="nil"/>
              <w:left w:val="nil"/>
              <w:bottom w:val="single" w:sz="8" w:space="0" w:color="auto"/>
              <w:right w:val="single" w:sz="8" w:space="0" w:color="auto"/>
            </w:tcBorders>
            <w:shd w:val="clear" w:color="auto" w:fill="auto"/>
            <w:vAlign w:val="center"/>
            <w:hideMark/>
          </w:tcPr>
          <w:p w14:paraId="74FBBE5E"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-77,5%</w:t>
            </w:r>
          </w:p>
        </w:tc>
      </w:tr>
      <w:tr w:rsidR="00031F10" w:rsidRPr="00031F10" w14:paraId="2EE44812" w14:textId="77777777" w:rsidTr="00031F10">
        <w:trPr>
          <w:trHeight w:val="30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F04075F" w14:textId="77777777" w:rsidR="00031F10" w:rsidRPr="00031F10" w:rsidRDefault="00031F10" w:rsidP="00031F10">
            <w:pPr>
              <w:jc w:val="left"/>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3.6. Pārējās saimnieciskās darbības izmaksas</w:t>
            </w:r>
          </w:p>
        </w:tc>
        <w:tc>
          <w:tcPr>
            <w:tcW w:w="1418" w:type="dxa"/>
            <w:tcBorders>
              <w:top w:val="nil"/>
              <w:left w:val="nil"/>
              <w:bottom w:val="single" w:sz="8" w:space="0" w:color="auto"/>
              <w:right w:val="single" w:sz="8" w:space="0" w:color="auto"/>
            </w:tcBorders>
            <w:shd w:val="clear" w:color="auto" w:fill="auto"/>
            <w:vAlign w:val="center"/>
            <w:hideMark/>
          </w:tcPr>
          <w:p w14:paraId="089BC46C"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108,9</w:t>
            </w:r>
          </w:p>
        </w:tc>
        <w:tc>
          <w:tcPr>
            <w:tcW w:w="1128" w:type="dxa"/>
            <w:tcBorders>
              <w:top w:val="nil"/>
              <w:left w:val="nil"/>
              <w:bottom w:val="single" w:sz="8" w:space="0" w:color="auto"/>
              <w:right w:val="single" w:sz="8" w:space="0" w:color="auto"/>
            </w:tcBorders>
            <w:shd w:val="clear" w:color="auto" w:fill="auto"/>
            <w:vAlign w:val="center"/>
            <w:hideMark/>
          </w:tcPr>
          <w:p w14:paraId="5ACB0EEB"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167,1</w:t>
            </w:r>
          </w:p>
        </w:tc>
        <w:tc>
          <w:tcPr>
            <w:tcW w:w="998" w:type="dxa"/>
            <w:tcBorders>
              <w:top w:val="nil"/>
              <w:left w:val="nil"/>
              <w:bottom w:val="single" w:sz="8" w:space="0" w:color="auto"/>
              <w:right w:val="single" w:sz="8" w:space="0" w:color="auto"/>
            </w:tcBorders>
            <w:shd w:val="clear" w:color="auto" w:fill="auto"/>
            <w:vAlign w:val="center"/>
            <w:hideMark/>
          </w:tcPr>
          <w:p w14:paraId="3B08233D"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58,2</w:t>
            </w:r>
          </w:p>
        </w:tc>
        <w:tc>
          <w:tcPr>
            <w:tcW w:w="992" w:type="dxa"/>
            <w:tcBorders>
              <w:top w:val="nil"/>
              <w:left w:val="nil"/>
              <w:bottom w:val="single" w:sz="8" w:space="0" w:color="auto"/>
              <w:right w:val="single" w:sz="8" w:space="0" w:color="auto"/>
            </w:tcBorders>
            <w:shd w:val="clear" w:color="auto" w:fill="auto"/>
            <w:vAlign w:val="center"/>
            <w:hideMark/>
          </w:tcPr>
          <w:p w14:paraId="423CBB25" w14:textId="77777777" w:rsidR="00031F10" w:rsidRPr="00031F10" w:rsidRDefault="00031F10" w:rsidP="00031F10">
            <w:pPr>
              <w:jc w:val="center"/>
              <w:rPr>
                <w:rFonts w:eastAsia="Times New Roman" w:cs="Times New Roman"/>
                <w:i/>
                <w:iCs/>
                <w:color w:val="000000"/>
                <w:sz w:val="20"/>
                <w:szCs w:val="20"/>
                <w:lang w:eastAsia="lv-LV"/>
              </w:rPr>
            </w:pPr>
            <w:r w:rsidRPr="00031F10">
              <w:rPr>
                <w:rFonts w:eastAsia="Times New Roman" w:cs="Times New Roman"/>
                <w:i/>
                <w:iCs/>
                <w:color w:val="000000"/>
                <w:sz w:val="20"/>
                <w:szCs w:val="20"/>
                <w:lang w:eastAsia="lv-LV"/>
              </w:rPr>
              <w:t>53,5%</w:t>
            </w:r>
          </w:p>
        </w:tc>
      </w:tr>
      <w:tr w:rsidR="00031F10" w:rsidRPr="00031F10" w14:paraId="0FCB6A2E" w14:textId="77777777" w:rsidTr="00031F10">
        <w:trPr>
          <w:trHeight w:val="30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6AD94E9" w14:textId="77777777" w:rsidR="00031F10" w:rsidRPr="00031F10" w:rsidRDefault="00031F10" w:rsidP="00031F10">
            <w:pPr>
              <w:jc w:val="left"/>
              <w:rPr>
                <w:rFonts w:eastAsia="Times New Roman" w:cs="Times New Roman"/>
                <w:b/>
                <w:bCs/>
                <w:color w:val="000000"/>
                <w:sz w:val="22"/>
                <w:lang w:eastAsia="lv-LV"/>
              </w:rPr>
            </w:pPr>
            <w:r w:rsidRPr="00031F10">
              <w:rPr>
                <w:rFonts w:eastAsia="Times New Roman" w:cs="Times New Roman"/>
                <w:b/>
                <w:bCs/>
                <w:color w:val="000000"/>
                <w:sz w:val="22"/>
                <w:lang w:eastAsia="lv-LV"/>
              </w:rPr>
              <w:t>4. Izmaksu efektivitāte</w:t>
            </w:r>
          </w:p>
        </w:tc>
        <w:tc>
          <w:tcPr>
            <w:tcW w:w="1418" w:type="dxa"/>
            <w:tcBorders>
              <w:top w:val="nil"/>
              <w:left w:val="nil"/>
              <w:bottom w:val="single" w:sz="8" w:space="0" w:color="auto"/>
              <w:right w:val="single" w:sz="8" w:space="0" w:color="auto"/>
            </w:tcBorders>
            <w:shd w:val="clear" w:color="auto" w:fill="auto"/>
            <w:vAlign w:val="center"/>
            <w:hideMark/>
          </w:tcPr>
          <w:p w14:paraId="4C36753A" w14:textId="77777777" w:rsidR="00031F10" w:rsidRPr="00031F10" w:rsidRDefault="00031F10" w:rsidP="00031F10">
            <w:pPr>
              <w:jc w:val="center"/>
              <w:rPr>
                <w:rFonts w:eastAsia="Times New Roman" w:cs="Times New Roman"/>
                <w:b/>
                <w:bCs/>
                <w:i/>
                <w:iCs/>
                <w:color w:val="000000"/>
                <w:sz w:val="22"/>
                <w:lang w:eastAsia="lv-LV"/>
              </w:rPr>
            </w:pPr>
            <w:r w:rsidRPr="00031F10">
              <w:rPr>
                <w:rFonts w:eastAsia="Times New Roman" w:cs="Times New Roman"/>
                <w:b/>
                <w:bCs/>
                <w:i/>
                <w:iCs/>
                <w:color w:val="000000"/>
                <w:sz w:val="22"/>
                <w:lang w:eastAsia="lv-LV"/>
              </w:rPr>
              <w:t> -</w:t>
            </w:r>
          </w:p>
        </w:tc>
        <w:tc>
          <w:tcPr>
            <w:tcW w:w="1128" w:type="dxa"/>
            <w:tcBorders>
              <w:top w:val="nil"/>
              <w:left w:val="nil"/>
              <w:bottom w:val="single" w:sz="8" w:space="0" w:color="auto"/>
              <w:right w:val="single" w:sz="8" w:space="0" w:color="auto"/>
            </w:tcBorders>
            <w:shd w:val="clear" w:color="auto" w:fill="auto"/>
            <w:vAlign w:val="center"/>
            <w:hideMark/>
          </w:tcPr>
          <w:p w14:paraId="603C0FF4" w14:textId="77777777" w:rsidR="00031F10" w:rsidRPr="00031F10" w:rsidRDefault="00031F10" w:rsidP="00031F10">
            <w:pPr>
              <w:jc w:val="center"/>
              <w:rPr>
                <w:rFonts w:eastAsia="Times New Roman" w:cs="Times New Roman"/>
                <w:b/>
                <w:bCs/>
                <w:color w:val="000000"/>
                <w:sz w:val="22"/>
                <w:lang w:eastAsia="lv-LV"/>
              </w:rPr>
            </w:pPr>
            <w:r w:rsidRPr="00031F10">
              <w:rPr>
                <w:rFonts w:eastAsia="Times New Roman" w:cs="Times New Roman"/>
                <w:b/>
                <w:bCs/>
                <w:color w:val="000000"/>
                <w:sz w:val="22"/>
                <w:lang w:eastAsia="lv-LV"/>
              </w:rPr>
              <w:t>-22,4</w:t>
            </w:r>
          </w:p>
        </w:tc>
        <w:tc>
          <w:tcPr>
            <w:tcW w:w="998" w:type="dxa"/>
            <w:tcBorders>
              <w:top w:val="nil"/>
              <w:left w:val="nil"/>
              <w:bottom w:val="single" w:sz="8" w:space="0" w:color="auto"/>
              <w:right w:val="single" w:sz="8" w:space="0" w:color="auto"/>
            </w:tcBorders>
            <w:shd w:val="clear" w:color="auto" w:fill="auto"/>
            <w:vAlign w:val="center"/>
            <w:hideMark/>
          </w:tcPr>
          <w:p w14:paraId="7B3CF454" w14:textId="77777777" w:rsidR="00031F10" w:rsidRPr="00031F10" w:rsidRDefault="00031F10" w:rsidP="00031F10">
            <w:pPr>
              <w:jc w:val="center"/>
              <w:rPr>
                <w:rFonts w:eastAsia="Times New Roman" w:cs="Times New Roman"/>
                <w:b/>
                <w:bCs/>
                <w:i/>
                <w:iCs/>
                <w:color w:val="000000"/>
                <w:sz w:val="22"/>
                <w:lang w:eastAsia="lv-LV"/>
              </w:rPr>
            </w:pPr>
            <w:r w:rsidRPr="00031F10">
              <w:rPr>
                <w:rFonts w:eastAsia="Times New Roman" w:cs="Times New Roman"/>
                <w:b/>
                <w:bCs/>
                <w:i/>
                <w:iCs/>
                <w:color w:val="000000"/>
                <w:sz w:val="22"/>
                <w:lang w:eastAsia="lv-LV"/>
              </w:rPr>
              <w:t>0,0</w:t>
            </w:r>
          </w:p>
        </w:tc>
        <w:tc>
          <w:tcPr>
            <w:tcW w:w="992" w:type="dxa"/>
            <w:tcBorders>
              <w:top w:val="nil"/>
              <w:left w:val="nil"/>
              <w:bottom w:val="single" w:sz="8" w:space="0" w:color="auto"/>
              <w:right w:val="single" w:sz="8" w:space="0" w:color="auto"/>
            </w:tcBorders>
            <w:shd w:val="clear" w:color="auto" w:fill="auto"/>
            <w:vAlign w:val="center"/>
            <w:hideMark/>
          </w:tcPr>
          <w:p w14:paraId="6C7641E9" w14:textId="77777777" w:rsidR="00031F10" w:rsidRPr="00031F10" w:rsidRDefault="00031F10" w:rsidP="00031F10">
            <w:pPr>
              <w:jc w:val="center"/>
              <w:rPr>
                <w:rFonts w:eastAsia="Times New Roman" w:cs="Times New Roman"/>
                <w:b/>
                <w:bCs/>
                <w:i/>
                <w:iCs/>
                <w:color w:val="000000"/>
                <w:sz w:val="22"/>
                <w:lang w:eastAsia="lv-LV"/>
              </w:rPr>
            </w:pPr>
            <w:r w:rsidRPr="00031F10">
              <w:rPr>
                <w:rFonts w:eastAsia="Times New Roman" w:cs="Times New Roman"/>
                <w:b/>
                <w:bCs/>
                <w:i/>
                <w:iCs/>
                <w:color w:val="000000"/>
                <w:sz w:val="22"/>
                <w:lang w:eastAsia="lv-LV"/>
              </w:rPr>
              <w:t>0,0%</w:t>
            </w:r>
          </w:p>
        </w:tc>
      </w:tr>
      <w:tr w:rsidR="003D37DC" w:rsidRPr="00920832" w14:paraId="727273E8" w14:textId="77777777" w:rsidTr="00031F10">
        <w:trPr>
          <w:trHeight w:val="360"/>
        </w:trPr>
        <w:tc>
          <w:tcPr>
            <w:tcW w:w="9062" w:type="dxa"/>
            <w:gridSpan w:val="5"/>
            <w:tcBorders>
              <w:top w:val="single" w:sz="8" w:space="0" w:color="auto"/>
            </w:tcBorders>
            <w:shd w:val="clear" w:color="auto" w:fill="auto"/>
            <w:noWrap/>
            <w:vAlign w:val="center"/>
          </w:tcPr>
          <w:p w14:paraId="448D0E82" w14:textId="77777777" w:rsidR="003D37DC" w:rsidRPr="00A20F62" w:rsidRDefault="003D37DC" w:rsidP="00520137">
            <w:pPr>
              <w:jc w:val="left"/>
              <w:rPr>
                <w:rFonts w:ascii="Arial" w:eastAsia="Times New Roman" w:hAnsi="Arial" w:cs="Arial"/>
                <w:color w:val="000000"/>
                <w:sz w:val="20"/>
                <w:szCs w:val="20"/>
                <w:lang w:eastAsia="lv-LV"/>
              </w:rPr>
            </w:pPr>
            <w:r w:rsidRPr="00A20F62">
              <w:rPr>
                <w:rFonts w:ascii="Arial" w:eastAsia="Times New Roman" w:hAnsi="Arial" w:cs="Arial"/>
                <w:color w:val="000000"/>
                <w:sz w:val="20"/>
                <w:szCs w:val="20"/>
                <w:lang w:eastAsia="lv-LV"/>
              </w:rPr>
              <w:t>* 2013. gadā apstiprinātais tarifs pārrēķināts no Ls uz EUR pēc LB noteiktā kursa – 0,702804 Ls/EUR</w:t>
            </w:r>
          </w:p>
        </w:tc>
      </w:tr>
    </w:tbl>
    <w:p w14:paraId="2BD56D97" w14:textId="77777777" w:rsidR="003D37DC" w:rsidRPr="00920832" w:rsidRDefault="003D37DC" w:rsidP="003D37DC">
      <w:pPr>
        <w:ind w:firstLine="720"/>
        <w:jc w:val="right"/>
        <w:textAlignment w:val="baseline"/>
        <w:rPr>
          <w:rFonts w:ascii="Arial" w:eastAsia="Times New Roman" w:hAnsi="Arial" w:cs="Arial"/>
          <w:szCs w:val="24"/>
          <w:lang w:eastAsia="lv-LV"/>
        </w:rPr>
      </w:pPr>
    </w:p>
    <w:p w14:paraId="35D9F952" w14:textId="77777777" w:rsidR="003D37DC" w:rsidRPr="00920832" w:rsidRDefault="003D37DC" w:rsidP="003D37DC">
      <w:pPr>
        <w:textAlignment w:val="baseline"/>
        <w:rPr>
          <w:rFonts w:ascii="Arial" w:eastAsia="Times New Roman" w:hAnsi="Arial" w:cs="Arial"/>
          <w:szCs w:val="24"/>
          <w:lang w:eastAsia="lv-LV"/>
        </w:rPr>
      </w:pPr>
    </w:p>
    <w:p w14:paraId="063E92DD" w14:textId="77777777" w:rsidR="003D37DC" w:rsidRPr="00A20F62" w:rsidRDefault="003D37DC" w:rsidP="003D37DC">
      <w:pPr>
        <w:textAlignment w:val="baseline"/>
        <w:rPr>
          <w:rFonts w:ascii="Arial" w:eastAsia="Times New Roman" w:hAnsi="Arial" w:cs="Arial"/>
          <w:sz w:val="22"/>
          <w:lang w:eastAsia="lv-LV"/>
        </w:rPr>
      </w:pPr>
      <w:r w:rsidRPr="00A20F62">
        <w:rPr>
          <w:rFonts w:ascii="Arial" w:eastAsia="Times New Roman" w:hAnsi="Arial" w:cs="Arial"/>
          <w:sz w:val="22"/>
          <w:lang w:eastAsia="lv-LV"/>
        </w:rPr>
        <w:t>LDz spēkā esošajos tarifos visas kopējās elektroenerģijas sadales sistēmas operatora izmaksas, kas saistītas ar elektroenerģijas sadales pakalpojumu sniegšanu, veido vienas vienības maksu EUR/kWh katrā sprieguma pakāpē.</w:t>
      </w:r>
    </w:p>
    <w:p w14:paraId="1365B263" w14:textId="55112F99" w:rsidR="00F74BF8" w:rsidRDefault="0020227F" w:rsidP="003A5954">
      <w:pPr>
        <w:textAlignment w:val="baseline"/>
        <w:rPr>
          <w:rFonts w:ascii="Arial" w:eastAsia="Times New Roman" w:hAnsi="Arial" w:cs="Arial"/>
          <w:szCs w:val="24"/>
          <w:lang w:eastAsia="lv-LV"/>
        </w:rPr>
      </w:pPr>
      <w:r w:rsidRPr="00DE0CC4">
        <w:rPr>
          <w:rFonts w:ascii="Arial" w:eastAsia="Times New Roman" w:hAnsi="Arial" w:cs="Arial"/>
          <w:sz w:val="22"/>
          <w:lang w:eastAsia="lv-LV"/>
        </w:rPr>
        <w:t>Aprēķinot jaunus sadales pakalpojumu tarifus tika uzskaitīts LDz saņemto sadales un pārvades pakalpojumu būtisks pieaugums</w:t>
      </w:r>
      <w:r w:rsidR="00031F10">
        <w:rPr>
          <w:rFonts w:ascii="Arial" w:eastAsia="Times New Roman" w:hAnsi="Arial" w:cs="Arial"/>
          <w:sz w:val="22"/>
          <w:lang w:eastAsia="lv-LV"/>
        </w:rPr>
        <w:t>, savukārt</w:t>
      </w:r>
      <w:r w:rsidRPr="00DE0CC4">
        <w:rPr>
          <w:rFonts w:ascii="Arial" w:eastAsia="Times New Roman" w:hAnsi="Arial" w:cs="Arial"/>
          <w:sz w:val="22"/>
          <w:lang w:eastAsia="lv-LV"/>
        </w:rPr>
        <w:t xml:space="preserve"> pārēj</w:t>
      </w:r>
      <w:r w:rsidR="00031F10">
        <w:rPr>
          <w:rFonts w:ascii="Arial" w:eastAsia="Times New Roman" w:hAnsi="Arial" w:cs="Arial"/>
          <w:sz w:val="22"/>
          <w:lang w:eastAsia="lv-LV"/>
        </w:rPr>
        <w:t>ās</w:t>
      </w:r>
      <w:r w:rsidRPr="00DE0CC4">
        <w:rPr>
          <w:rFonts w:ascii="Arial" w:eastAsia="Times New Roman" w:hAnsi="Arial" w:cs="Arial"/>
          <w:sz w:val="22"/>
          <w:lang w:eastAsia="lv-LV"/>
        </w:rPr>
        <w:t xml:space="preserve"> tarifā iekļaut</w:t>
      </w:r>
      <w:r w:rsidR="00031F10">
        <w:rPr>
          <w:rFonts w:ascii="Arial" w:eastAsia="Times New Roman" w:hAnsi="Arial" w:cs="Arial"/>
          <w:sz w:val="22"/>
          <w:lang w:eastAsia="lv-LV"/>
        </w:rPr>
        <w:t>ās</w:t>
      </w:r>
      <w:r w:rsidRPr="00DE0CC4">
        <w:rPr>
          <w:rFonts w:ascii="Arial" w:eastAsia="Times New Roman" w:hAnsi="Arial" w:cs="Arial"/>
          <w:sz w:val="22"/>
          <w:lang w:eastAsia="lv-LV"/>
        </w:rPr>
        <w:t xml:space="preserve"> izmaks</w:t>
      </w:r>
      <w:r w:rsidR="00031F10">
        <w:rPr>
          <w:rFonts w:ascii="Arial" w:eastAsia="Times New Roman" w:hAnsi="Arial" w:cs="Arial"/>
          <w:sz w:val="22"/>
          <w:lang w:eastAsia="lv-LV"/>
        </w:rPr>
        <w:t>as</w:t>
      </w:r>
      <w:r w:rsidRPr="00DE0CC4">
        <w:rPr>
          <w:rFonts w:ascii="Arial" w:eastAsia="Times New Roman" w:hAnsi="Arial" w:cs="Arial"/>
          <w:sz w:val="22"/>
          <w:lang w:eastAsia="lv-LV"/>
        </w:rPr>
        <w:t xml:space="preserve"> pieaug</w:t>
      </w:r>
      <w:r w:rsidR="00031F10">
        <w:rPr>
          <w:rFonts w:ascii="Arial" w:eastAsia="Times New Roman" w:hAnsi="Arial" w:cs="Arial"/>
          <w:sz w:val="22"/>
          <w:lang w:eastAsia="lv-LV"/>
        </w:rPr>
        <w:t>ušas</w:t>
      </w:r>
      <w:r w:rsidRPr="00DE0CC4">
        <w:rPr>
          <w:rFonts w:ascii="Arial" w:eastAsia="Times New Roman" w:hAnsi="Arial" w:cs="Arial"/>
          <w:sz w:val="22"/>
          <w:lang w:eastAsia="lv-LV"/>
        </w:rPr>
        <w:t xml:space="preserve"> </w:t>
      </w:r>
      <w:r w:rsidR="00031F10">
        <w:rPr>
          <w:rFonts w:ascii="Arial" w:eastAsia="Times New Roman" w:hAnsi="Arial" w:cs="Arial"/>
          <w:sz w:val="22"/>
          <w:lang w:eastAsia="lv-LV"/>
        </w:rPr>
        <w:t xml:space="preserve">nebūtiski </w:t>
      </w:r>
      <w:r w:rsidRPr="00DE0CC4">
        <w:rPr>
          <w:rFonts w:ascii="Arial" w:eastAsia="Times New Roman" w:hAnsi="Arial" w:cs="Arial"/>
          <w:sz w:val="22"/>
          <w:lang w:eastAsia="lv-LV"/>
        </w:rPr>
        <w:t xml:space="preserve">vai </w:t>
      </w:r>
      <w:r w:rsidR="00031F10">
        <w:rPr>
          <w:rFonts w:ascii="Arial" w:eastAsia="Times New Roman" w:hAnsi="Arial" w:cs="Arial"/>
          <w:sz w:val="22"/>
          <w:lang w:eastAsia="lv-LV"/>
        </w:rPr>
        <w:t xml:space="preserve">un atseviškos gadījumos </w:t>
      </w:r>
      <w:r w:rsidRPr="00DE0CC4">
        <w:rPr>
          <w:rFonts w:ascii="Arial" w:eastAsia="Times New Roman" w:hAnsi="Arial" w:cs="Arial"/>
          <w:sz w:val="22"/>
          <w:lang w:eastAsia="lv-LV"/>
        </w:rPr>
        <w:t>pat samazināju</w:t>
      </w:r>
      <w:r w:rsidR="00031F10">
        <w:rPr>
          <w:rFonts w:ascii="Arial" w:eastAsia="Times New Roman" w:hAnsi="Arial" w:cs="Arial"/>
          <w:sz w:val="22"/>
          <w:lang w:eastAsia="lv-LV"/>
        </w:rPr>
        <w:t>šās</w:t>
      </w:r>
      <w:r w:rsidRPr="00DE0CC4">
        <w:rPr>
          <w:rFonts w:ascii="Arial" w:eastAsia="Times New Roman" w:hAnsi="Arial" w:cs="Arial"/>
          <w:sz w:val="22"/>
          <w:lang w:eastAsia="lv-LV"/>
        </w:rPr>
        <w:t xml:space="preserve"> LDz pastāvīgas darbības optimizēšanas ietvaros</w:t>
      </w:r>
      <w:r>
        <w:rPr>
          <w:rFonts w:ascii="Arial" w:eastAsia="Times New Roman" w:hAnsi="Arial" w:cs="Arial"/>
          <w:sz w:val="22"/>
          <w:lang w:eastAsia="lv-LV"/>
        </w:rPr>
        <w:t>.</w:t>
      </w:r>
    </w:p>
    <w:sectPr w:rsidR="00F74BF8" w:rsidSect="00A8592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E02"/>
    <w:multiLevelType w:val="multilevel"/>
    <w:tmpl w:val="B0FE7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DE72B4"/>
    <w:multiLevelType w:val="multilevel"/>
    <w:tmpl w:val="527E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625AA9"/>
    <w:multiLevelType w:val="multilevel"/>
    <w:tmpl w:val="9AA2A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E371F1"/>
    <w:multiLevelType w:val="multilevel"/>
    <w:tmpl w:val="0552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971826">
    <w:abstractNumId w:val="3"/>
  </w:num>
  <w:num w:numId="2" w16cid:durableId="488205496">
    <w:abstractNumId w:val="1"/>
  </w:num>
  <w:num w:numId="3" w16cid:durableId="1748962637">
    <w:abstractNumId w:val="0"/>
  </w:num>
  <w:num w:numId="4" w16cid:durableId="1383555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9B"/>
    <w:rsid w:val="000035B9"/>
    <w:rsid w:val="00014137"/>
    <w:rsid w:val="00031F10"/>
    <w:rsid w:val="000414BF"/>
    <w:rsid w:val="00060165"/>
    <w:rsid w:val="000A4F9D"/>
    <w:rsid w:val="000C55F7"/>
    <w:rsid w:val="000C6B0F"/>
    <w:rsid w:val="000E13DF"/>
    <w:rsid w:val="000E175D"/>
    <w:rsid w:val="000E3549"/>
    <w:rsid w:val="001033E8"/>
    <w:rsid w:val="00123DDD"/>
    <w:rsid w:val="00134475"/>
    <w:rsid w:val="0018223C"/>
    <w:rsid w:val="001855E7"/>
    <w:rsid w:val="00195CFA"/>
    <w:rsid w:val="001C5038"/>
    <w:rsid w:val="001D2710"/>
    <w:rsid w:val="001F2B99"/>
    <w:rsid w:val="0020227F"/>
    <w:rsid w:val="00215582"/>
    <w:rsid w:val="00225196"/>
    <w:rsid w:val="0023074B"/>
    <w:rsid w:val="00242CDF"/>
    <w:rsid w:val="00244553"/>
    <w:rsid w:val="002973B8"/>
    <w:rsid w:val="002B7347"/>
    <w:rsid w:val="002C53C0"/>
    <w:rsid w:val="002D6FA6"/>
    <w:rsid w:val="00310C33"/>
    <w:rsid w:val="00313E35"/>
    <w:rsid w:val="003231B5"/>
    <w:rsid w:val="00397ABA"/>
    <w:rsid w:val="003A5954"/>
    <w:rsid w:val="003C4D5B"/>
    <w:rsid w:val="003D37DC"/>
    <w:rsid w:val="00434FB7"/>
    <w:rsid w:val="00437EA3"/>
    <w:rsid w:val="00441280"/>
    <w:rsid w:val="00447677"/>
    <w:rsid w:val="00452EEB"/>
    <w:rsid w:val="00455D2E"/>
    <w:rsid w:val="0045727B"/>
    <w:rsid w:val="0046255D"/>
    <w:rsid w:val="004759A5"/>
    <w:rsid w:val="004936A3"/>
    <w:rsid w:val="00497009"/>
    <w:rsid w:val="004B12D6"/>
    <w:rsid w:val="004D2A0C"/>
    <w:rsid w:val="004D4B74"/>
    <w:rsid w:val="00523EC3"/>
    <w:rsid w:val="00535FE5"/>
    <w:rsid w:val="00544099"/>
    <w:rsid w:val="00560CA8"/>
    <w:rsid w:val="0056548D"/>
    <w:rsid w:val="00585DBB"/>
    <w:rsid w:val="005A564A"/>
    <w:rsid w:val="005C6948"/>
    <w:rsid w:val="005E3AEA"/>
    <w:rsid w:val="006238CF"/>
    <w:rsid w:val="00626342"/>
    <w:rsid w:val="006311D6"/>
    <w:rsid w:val="00634E68"/>
    <w:rsid w:val="00655384"/>
    <w:rsid w:val="00663926"/>
    <w:rsid w:val="00686EED"/>
    <w:rsid w:val="006A07F0"/>
    <w:rsid w:val="006B6D82"/>
    <w:rsid w:val="006E573B"/>
    <w:rsid w:val="00715D83"/>
    <w:rsid w:val="0072187E"/>
    <w:rsid w:val="00781424"/>
    <w:rsid w:val="00784428"/>
    <w:rsid w:val="007A6D07"/>
    <w:rsid w:val="007C2D11"/>
    <w:rsid w:val="007E7A78"/>
    <w:rsid w:val="00823FDB"/>
    <w:rsid w:val="008252C2"/>
    <w:rsid w:val="00833355"/>
    <w:rsid w:val="00861EEC"/>
    <w:rsid w:val="008627E3"/>
    <w:rsid w:val="008712C6"/>
    <w:rsid w:val="008755EB"/>
    <w:rsid w:val="008960AF"/>
    <w:rsid w:val="008A33ED"/>
    <w:rsid w:val="008A34CA"/>
    <w:rsid w:val="008A4C40"/>
    <w:rsid w:val="008D464F"/>
    <w:rsid w:val="008D6155"/>
    <w:rsid w:val="008E59CE"/>
    <w:rsid w:val="008F2D2E"/>
    <w:rsid w:val="00924876"/>
    <w:rsid w:val="0094080D"/>
    <w:rsid w:val="00941D22"/>
    <w:rsid w:val="00965172"/>
    <w:rsid w:val="00993D80"/>
    <w:rsid w:val="00997D69"/>
    <w:rsid w:val="009A0510"/>
    <w:rsid w:val="009B7531"/>
    <w:rsid w:val="009B7A9E"/>
    <w:rsid w:val="009E7D10"/>
    <w:rsid w:val="009F02DD"/>
    <w:rsid w:val="009F7AFC"/>
    <w:rsid w:val="00A23604"/>
    <w:rsid w:val="00A2677B"/>
    <w:rsid w:val="00A54C74"/>
    <w:rsid w:val="00A7525A"/>
    <w:rsid w:val="00A85923"/>
    <w:rsid w:val="00AA0015"/>
    <w:rsid w:val="00AE1972"/>
    <w:rsid w:val="00B16540"/>
    <w:rsid w:val="00B24795"/>
    <w:rsid w:val="00B604AE"/>
    <w:rsid w:val="00B81226"/>
    <w:rsid w:val="00BB6BAB"/>
    <w:rsid w:val="00BE6702"/>
    <w:rsid w:val="00C21580"/>
    <w:rsid w:val="00C3756C"/>
    <w:rsid w:val="00C4323E"/>
    <w:rsid w:val="00C47726"/>
    <w:rsid w:val="00C55527"/>
    <w:rsid w:val="00C6437C"/>
    <w:rsid w:val="00C77FDD"/>
    <w:rsid w:val="00CA56D7"/>
    <w:rsid w:val="00CD729F"/>
    <w:rsid w:val="00CF6480"/>
    <w:rsid w:val="00D01D9A"/>
    <w:rsid w:val="00D410EA"/>
    <w:rsid w:val="00D46CC7"/>
    <w:rsid w:val="00D5430D"/>
    <w:rsid w:val="00D55632"/>
    <w:rsid w:val="00D6789B"/>
    <w:rsid w:val="00D844CB"/>
    <w:rsid w:val="00DC4C24"/>
    <w:rsid w:val="00DE4CE8"/>
    <w:rsid w:val="00DE7F1C"/>
    <w:rsid w:val="00DF080F"/>
    <w:rsid w:val="00DF41E8"/>
    <w:rsid w:val="00DF47C2"/>
    <w:rsid w:val="00E27478"/>
    <w:rsid w:val="00E860C0"/>
    <w:rsid w:val="00E90B65"/>
    <w:rsid w:val="00EA648F"/>
    <w:rsid w:val="00EB129B"/>
    <w:rsid w:val="00ED555E"/>
    <w:rsid w:val="00EE184C"/>
    <w:rsid w:val="00F1579B"/>
    <w:rsid w:val="00F31805"/>
    <w:rsid w:val="00F32DC9"/>
    <w:rsid w:val="00F531F7"/>
    <w:rsid w:val="00F74BF8"/>
    <w:rsid w:val="00FC1D82"/>
    <w:rsid w:val="00FC51AA"/>
    <w:rsid w:val="00FE7781"/>
    <w:rsid w:val="02B1800D"/>
    <w:rsid w:val="05559706"/>
    <w:rsid w:val="06AA9006"/>
    <w:rsid w:val="0B82F14E"/>
    <w:rsid w:val="0FE9EDE4"/>
    <w:rsid w:val="13FFFCF2"/>
    <w:rsid w:val="15262AC7"/>
    <w:rsid w:val="174AB7D4"/>
    <w:rsid w:val="1A7B3A0F"/>
    <w:rsid w:val="1C89A302"/>
    <w:rsid w:val="1E58C05F"/>
    <w:rsid w:val="2007B534"/>
    <w:rsid w:val="20425DE6"/>
    <w:rsid w:val="2044CBF5"/>
    <w:rsid w:val="242420C8"/>
    <w:rsid w:val="2569E0DC"/>
    <w:rsid w:val="2776DB6D"/>
    <w:rsid w:val="2BFB2C9E"/>
    <w:rsid w:val="2DE4699B"/>
    <w:rsid w:val="2EF4F7D0"/>
    <w:rsid w:val="2FD063E1"/>
    <w:rsid w:val="33B51B3A"/>
    <w:rsid w:val="34EA45EC"/>
    <w:rsid w:val="3636895A"/>
    <w:rsid w:val="36E6B823"/>
    <w:rsid w:val="38AA29A8"/>
    <w:rsid w:val="3A81FFF2"/>
    <w:rsid w:val="3CF0C317"/>
    <w:rsid w:val="3FFCA9A5"/>
    <w:rsid w:val="4183390E"/>
    <w:rsid w:val="464A8D94"/>
    <w:rsid w:val="4A6C77BE"/>
    <w:rsid w:val="4AA4476C"/>
    <w:rsid w:val="4B120241"/>
    <w:rsid w:val="4C3BC8B1"/>
    <w:rsid w:val="4D0205BE"/>
    <w:rsid w:val="4EE9CD26"/>
    <w:rsid w:val="50F53A0A"/>
    <w:rsid w:val="5335BE3B"/>
    <w:rsid w:val="5357A6C9"/>
    <w:rsid w:val="56ED019F"/>
    <w:rsid w:val="59CEAB2C"/>
    <w:rsid w:val="5BFD2863"/>
    <w:rsid w:val="5C053AEB"/>
    <w:rsid w:val="5FBC1413"/>
    <w:rsid w:val="60468B37"/>
    <w:rsid w:val="624875FE"/>
    <w:rsid w:val="635F4F26"/>
    <w:rsid w:val="665328A0"/>
    <w:rsid w:val="6AE41BA5"/>
    <w:rsid w:val="6D029CC6"/>
    <w:rsid w:val="6D512B3B"/>
    <w:rsid w:val="6F512308"/>
    <w:rsid w:val="71153376"/>
    <w:rsid w:val="72FADFCE"/>
    <w:rsid w:val="78A11429"/>
    <w:rsid w:val="7BB3E783"/>
    <w:rsid w:val="7E34A5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F3FC"/>
  <w15:chartTrackingRefBased/>
  <w15:docId w15:val="{A9253654-C816-46B0-8284-21FC80FA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954"/>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F15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7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7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7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7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79B"/>
    <w:rPr>
      <w:rFonts w:eastAsiaTheme="majorEastAsia" w:cstheme="majorBidi"/>
      <w:color w:val="272727" w:themeColor="text1" w:themeTint="D8"/>
    </w:rPr>
  </w:style>
  <w:style w:type="paragraph" w:styleId="Title">
    <w:name w:val="Title"/>
    <w:basedOn w:val="Normal"/>
    <w:next w:val="Normal"/>
    <w:link w:val="TitleChar"/>
    <w:uiPriority w:val="10"/>
    <w:qFormat/>
    <w:rsid w:val="00F157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79B"/>
    <w:pPr>
      <w:spacing w:before="160"/>
      <w:jc w:val="center"/>
    </w:pPr>
    <w:rPr>
      <w:i/>
      <w:iCs/>
      <w:color w:val="404040" w:themeColor="text1" w:themeTint="BF"/>
    </w:rPr>
  </w:style>
  <w:style w:type="character" w:customStyle="1" w:styleId="QuoteChar">
    <w:name w:val="Quote Char"/>
    <w:basedOn w:val="DefaultParagraphFont"/>
    <w:link w:val="Quote"/>
    <w:uiPriority w:val="29"/>
    <w:rsid w:val="00F1579B"/>
    <w:rPr>
      <w:i/>
      <w:iCs/>
      <w:color w:val="404040" w:themeColor="text1" w:themeTint="BF"/>
    </w:rPr>
  </w:style>
  <w:style w:type="paragraph" w:styleId="ListParagraph">
    <w:name w:val="List Paragraph"/>
    <w:basedOn w:val="Normal"/>
    <w:uiPriority w:val="34"/>
    <w:qFormat/>
    <w:rsid w:val="00F1579B"/>
    <w:pPr>
      <w:ind w:left="720"/>
      <w:contextualSpacing/>
    </w:pPr>
  </w:style>
  <w:style w:type="character" w:styleId="IntenseEmphasis">
    <w:name w:val="Intense Emphasis"/>
    <w:basedOn w:val="DefaultParagraphFont"/>
    <w:uiPriority w:val="21"/>
    <w:qFormat/>
    <w:rsid w:val="00F1579B"/>
    <w:rPr>
      <w:i/>
      <w:iCs/>
      <w:color w:val="0F4761" w:themeColor="accent1" w:themeShade="BF"/>
    </w:rPr>
  </w:style>
  <w:style w:type="paragraph" w:styleId="IntenseQuote">
    <w:name w:val="Intense Quote"/>
    <w:basedOn w:val="Normal"/>
    <w:next w:val="Normal"/>
    <w:link w:val="IntenseQuoteChar"/>
    <w:uiPriority w:val="30"/>
    <w:qFormat/>
    <w:rsid w:val="00F15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79B"/>
    <w:rPr>
      <w:i/>
      <w:iCs/>
      <w:color w:val="0F4761" w:themeColor="accent1" w:themeShade="BF"/>
    </w:rPr>
  </w:style>
  <w:style w:type="character" w:styleId="IntenseReference">
    <w:name w:val="Intense Reference"/>
    <w:basedOn w:val="DefaultParagraphFont"/>
    <w:uiPriority w:val="32"/>
    <w:qFormat/>
    <w:rsid w:val="00F1579B"/>
    <w:rPr>
      <w:b/>
      <w:bCs/>
      <w:smallCaps/>
      <w:color w:val="0F4761" w:themeColor="accent1" w:themeShade="BF"/>
      <w:spacing w:val="5"/>
    </w:rPr>
  </w:style>
  <w:style w:type="character" w:styleId="CommentReference">
    <w:name w:val="annotation reference"/>
    <w:basedOn w:val="DefaultParagraphFont"/>
    <w:uiPriority w:val="99"/>
    <w:semiHidden/>
    <w:unhideWhenUsed/>
    <w:rsid w:val="003C4D5B"/>
    <w:rPr>
      <w:sz w:val="16"/>
      <w:szCs w:val="16"/>
    </w:rPr>
  </w:style>
  <w:style w:type="paragraph" w:styleId="CommentText">
    <w:name w:val="annotation text"/>
    <w:basedOn w:val="Normal"/>
    <w:link w:val="CommentTextChar"/>
    <w:uiPriority w:val="99"/>
    <w:unhideWhenUsed/>
    <w:rsid w:val="003C4D5B"/>
    <w:rPr>
      <w:sz w:val="20"/>
      <w:szCs w:val="20"/>
    </w:rPr>
  </w:style>
  <w:style w:type="character" w:customStyle="1" w:styleId="CommentTextChar">
    <w:name w:val="Comment Text Char"/>
    <w:basedOn w:val="DefaultParagraphFont"/>
    <w:link w:val="CommentText"/>
    <w:uiPriority w:val="99"/>
    <w:rsid w:val="003C4D5B"/>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4D5B"/>
    <w:rPr>
      <w:b/>
      <w:bCs/>
    </w:rPr>
  </w:style>
  <w:style w:type="character" w:customStyle="1" w:styleId="CommentSubjectChar">
    <w:name w:val="Comment Subject Char"/>
    <w:basedOn w:val="CommentTextChar"/>
    <w:link w:val="CommentSubject"/>
    <w:uiPriority w:val="99"/>
    <w:semiHidden/>
    <w:rsid w:val="003C4D5B"/>
    <w:rPr>
      <w:rFonts w:ascii="Times New Roman" w:hAnsi="Times New Roman"/>
      <w:b/>
      <w:bCs/>
      <w:kern w:val="0"/>
      <w:sz w:val="20"/>
      <w:szCs w:val="20"/>
      <w14:ligatures w14:val="none"/>
    </w:rPr>
  </w:style>
  <w:style w:type="paragraph" w:styleId="Revision">
    <w:name w:val="Revision"/>
    <w:hidden/>
    <w:uiPriority w:val="99"/>
    <w:semiHidden/>
    <w:rsid w:val="00447677"/>
    <w:pPr>
      <w:spacing w:after="0" w:line="240" w:lineRule="auto"/>
    </w:pPr>
    <w:rPr>
      <w:rFonts w:ascii="Times New Roman" w:hAnsi="Times New Roman"/>
      <w:kern w:val="0"/>
      <w:sz w:val="24"/>
      <w14:ligatures w14:val="none"/>
    </w:rPr>
  </w:style>
  <w:style w:type="character" w:styleId="Hyperlink">
    <w:name w:val="Hyperlink"/>
    <w:basedOn w:val="DefaultParagraphFont"/>
    <w:uiPriority w:val="99"/>
    <w:unhideWhenUsed/>
    <w:rsid w:val="000C6B0F"/>
    <w:rPr>
      <w:color w:val="467886" w:themeColor="hyperlink"/>
      <w:u w:val="single"/>
    </w:rPr>
  </w:style>
  <w:style w:type="character" w:styleId="UnresolvedMention">
    <w:name w:val="Unresolved Mention"/>
    <w:basedOn w:val="DefaultParagraphFont"/>
    <w:uiPriority w:val="99"/>
    <w:semiHidden/>
    <w:unhideWhenUsed/>
    <w:rsid w:val="000C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2469">
      <w:bodyDiv w:val="1"/>
      <w:marLeft w:val="0"/>
      <w:marRight w:val="0"/>
      <w:marTop w:val="0"/>
      <w:marBottom w:val="0"/>
      <w:divBdr>
        <w:top w:val="none" w:sz="0" w:space="0" w:color="auto"/>
        <w:left w:val="none" w:sz="0" w:space="0" w:color="auto"/>
        <w:bottom w:val="none" w:sz="0" w:space="0" w:color="auto"/>
        <w:right w:val="none" w:sz="0" w:space="0" w:color="auto"/>
      </w:divBdr>
    </w:div>
    <w:div w:id="592320261">
      <w:bodyDiv w:val="1"/>
      <w:marLeft w:val="0"/>
      <w:marRight w:val="0"/>
      <w:marTop w:val="0"/>
      <w:marBottom w:val="0"/>
      <w:divBdr>
        <w:top w:val="none" w:sz="0" w:space="0" w:color="auto"/>
        <w:left w:val="none" w:sz="0" w:space="0" w:color="auto"/>
        <w:bottom w:val="none" w:sz="0" w:space="0" w:color="auto"/>
        <w:right w:val="none" w:sz="0" w:space="0" w:color="auto"/>
      </w:divBdr>
    </w:div>
    <w:div w:id="665325270">
      <w:bodyDiv w:val="1"/>
      <w:marLeft w:val="0"/>
      <w:marRight w:val="0"/>
      <w:marTop w:val="0"/>
      <w:marBottom w:val="0"/>
      <w:divBdr>
        <w:top w:val="none" w:sz="0" w:space="0" w:color="auto"/>
        <w:left w:val="none" w:sz="0" w:space="0" w:color="auto"/>
        <w:bottom w:val="none" w:sz="0" w:space="0" w:color="auto"/>
        <w:right w:val="none" w:sz="0" w:space="0" w:color="auto"/>
      </w:divBdr>
    </w:div>
    <w:div w:id="804008292">
      <w:bodyDiv w:val="1"/>
      <w:marLeft w:val="0"/>
      <w:marRight w:val="0"/>
      <w:marTop w:val="0"/>
      <w:marBottom w:val="0"/>
      <w:divBdr>
        <w:top w:val="none" w:sz="0" w:space="0" w:color="auto"/>
        <w:left w:val="none" w:sz="0" w:space="0" w:color="auto"/>
        <w:bottom w:val="none" w:sz="0" w:space="0" w:color="auto"/>
        <w:right w:val="none" w:sz="0" w:space="0" w:color="auto"/>
      </w:divBdr>
    </w:div>
    <w:div w:id="884097011">
      <w:bodyDiv w:val="1"/>
      <w:marLeft w:val="0"/>
      <w:marRight w:val="0"/>
      <w:marTop w:val="0"/>
      <w:marBottom w:val="0"/>
      <w:divBdr>
        <w:top w:val="none" w:sz="0" w:space="0" w:color="auto"/>
        <w:left w:val="none" w:sz="0" w:space="0" w:color="auto"/>
        <w:bottom w:val="none" w:sz="0" w:space="0" w:color="auto"/>
        <w:right w:val="none" w:sz="0" w:space="0" w:color="auto"/>
      </w:divBdr>
    </w:div>
    <w:div w:id="1090852568">
      <w:bodyDiv w:val="1"/>
      <w:marLeft w:val="0"/>
      <w:marRight w:val="0"/>
      <w:marTop w:val="0"/>
      <w:marBottom w:val="0"/>
      <w:divBdr>
        <w:top w:val="none" w:sz="0" w:space="0" w:color="auto"/>
        <w:left w:val="none" w:sz="0" w:space="0" w:color="auto"/>
        <w:bottom w:val="none" w:sz="0" w:space="0" w:color="auto"/>
        <w:right w:val="none" w:sz="0" w:space="0" w:color="auto"/>
      </w:divBdr>
    </w:div>
    <w:div w:id="1153568209">
      <w:bodyDiv w:val="1"/>
      <w:marLeft w:val="0"/>
      <w:marRight w:val="0"/>
      <w:marTop w:val="0"/>
      <w:marBottom w:val="0"/>
      <w:divBdr>
        <w:top w:val="none" w:sz="0" w:space="0" w:color="auto"/>
        <w:left w:val="none" w:sz="0" w:space="0" w:color="auto"/>
        <w:bottom w:val="none" w:sz="0" w:space="0" w:color="auto"/>
        <w:right w:val="none" w:sz="0" w:space="0" w:color="auto"/>
      </w:divBdr>
    </w:div>
    <w:div w:id="1585063472">
      <w:bodyDiv w:val="1"/>
      <w:marLeft w:val="0"/>
      <w:marRight w:val="0"/>
      <w:marTop w:val="0"/>
      <w:marBottom w:val="0"/>
      <w:divBdr>
        <w:top w:val="none" w:sz="0" w:space="0" w:color="auto"/>
        <w:left w:val="none" w:sz="0" w:space="0" w:color="auto"/>
        <w:bottom w:val="none" w:sz="0" w:space="0" w:color="auto"/>
        <w:right w:val="none" w:sz="0" w:space="0" w:color="auto"/>
      </w:divBdr>
    </w:div>
    <w:div w:id="1718624748">
      <w:bodyDiv w:val="1"/>
      <w:marLeft w:val="0"/>
      <w:marRight w:val="0"/>
      <w:marTop w:val="0"/>
      <w:marBottom w:val="0"/>
      <w:divBdr>
        <w:top w:val="none" w:sz="0" w:space="0" w:color="auto"/>
        <w:left w:val="none" w:sz="0" w:space="0" w:color="auto"/>
        <w:bottom w:val="none" w:sz="0" w:space="0" w:color="auto"/>
        <w:right w:val="none" w:sz="0" w:space="0" w:color="auto"/>
      </w:divBdr>
    </w:div>
    <w:div w:id="18339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D74737A08E8A49B03E933FF415A75E" ma:contentTypeVersion="8" ma:contentTypeDescription="Create a new document." ma:contentTypeScope="" ma:versionID="4a08668f330dee84635ed85a497af3d7">
  <xsd:schema xmlns:xsd="http://www.w3.org/2001/XMLSchema" xmlns:xs="http://www.w3.org/2001/XMLSchema" xmlns:p="http://schemas.microsoft.com/office/2006/metadata/properties" xmlns:ns3="e0666845-a607-444e-aca7-61bec6ad5222" xmlns:ns4="459c9103-855c-496c-a98f-30bf05053a4d" targetNamespace="http://schemas.microsoft.com/office/2006/metadata/properties" ma:root="true" ma:fieldsID="a276c32445605aab0ed55d4feb5eed79" ns3:_="" ns4:_="">
    <xsd:import namespace="e0666845-a607-444e-aca7-61bec6ad5222"/>
    <xsd:import namespace="459c9103-855c-496c-a98f-30bf05053a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66845-a607-444e-aca7-61bec6ad5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c9103-855c-496c-a98f-30bf05053a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0666845-a607-444e-aca7-61bec6ad5222" xsi:nil="true"/>
  </documentManagement>
</p:properties>
</file>

<file path=customXml/itemProps1.xml><?xml version="1.0" encoding="utf-8"?>
<ds:datastoreItem xmlns:ds="http://schemas.openxmlformats.org/officeDocument/2006/customXml" ds:itemID="{306F5185-ABF6-40B7-9A0C-02F8D8088FE3}">
  <ds:schemaRefs>
    <ds:schemaRef ds:uri="http://schemas.microsoft.com/sharepoint/v3/contenttype/forms"/>
  </ds:schemaRefs>
</ds:datastoreItem>
</file>

<file path=customXml/itemProps2.xml><?xml version="1.0" encoding="utf-8"?>
<ds:datastoreItem xmlns:ds="http://schemas.openxmlformats.org/officeDocument/2006/customXml" ds:itemID="{819F37F8-5B8C-4675-A684-9DE5BFCBF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66845-a607-444e-aca7-61bec6ad5222"/>
    <ds:schemaRef ds:uri="459c9103-855c-496c-a98f-30bf05053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155AC-3584-46B5-AF5B-70966552E69E}">
  <ds:schemaRefs>
    <ds:schemaRef ds:uri="http://schemas.microsoft.com/office/2006/metadata/properties"/>
    <ds:schemaRef ds:uri="http://schemas.microsoft.com/office/infopath/2007/PartnerControls"/>
    <ds:schemaRef ds:uri="e0666845-a607-444e-aca7-61bec6ad52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3732</Words>
  <Characters>2128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Roščanova</dc:creator>
  <cp:keywords/>
  <dc:description/>
  <cp:lastModifiedBy>Agnese Līcīte</cp:lastModifiedBy>
  <cp:revision>2</cp:revision>
  <dcterms:created xsi:type="dcterms:W3CDTF">2025-12-23T10:41:00Z</dcterms:created>
  <dcterms:modified xsi:type="dcterms:W3CDTF">2025-12-23T10:41:00Z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0x01010054D74737A08E8A49B03E933FF415A75E</vt:lpwstr>
  </property>
</Properties>
</file>