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C432" w14:textId="3FEFDD1C" w:rsidR="00E24E56" w:rsidRPr="00E24E56" w:rsidRDefault="00E24E56" w:rsidP="00DA6984">
      <w:pPr>
        <w:shd w:val="clear" w:color="auto" w:fill="FFFFFF"/>
        <w:spacing w:after="150" w:line="240" w:lineRule="auto"/>
        <w:jc w:val="center"/>
        <w:rPr>
          <w:rFonts w:ascii="Arial" w:eastAsia="Times New Roman" w:hAnsi="Arial" w:cs="Arial"/>
          <w:b/>
          <w:bCs/>
          <w:kern w:val="36"/>
          <w:sz w:val="20"/>
          <w:szCs w:val="20"/>
          <w:lang w:eastAsia="lv-LV"/>
        </w:rPr>
      </w:pPr>
      <w:r w:rsidRPr="00E24E56">
        <w:rPr>
          <w:rFonts w:ascii="Arial" w:eastAsia="Times New Roman" w:hAnsi="Arial" w:cs="Arial"/>
          <w:b/>
          <w:bCs/>
          <w:kern w:val="36"/>
          <w:sz w:val="20"/>
          <w:szCs w:val="20"/>
          <w:lang w:eastAsia="lv-LV"/>
        </w:rPr>
        <w:t>Cenas un kalkulators līdz 2023.gada 1.septembrim</w:t>
      </w:r>
    </w:p>
    <w:p w14:paraId="73138C1B" w14:textId="0A4479B2"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No 2022.gada 1.septembra</w:t>
      </w:r>
      <w:r w:rsidR="00E24E56" w:rsidRPr="00E24E56">
        <w:rPr>
          <w:rFonts w:ascii="Arial" w:eastAsia="Times New Roman" w:hAnsi="Arial" w:cs="Arial"/>
          <w:sz w:val="20"/>
          <w:szCs w:val="20"/>
          <w:lang w:eastAsia="lv-LV"/>
        </w:rPr>
        <w:t xml:space="preserve"> </w:t>
      </w:r>
      <w:r w:rsidR="00713CE1">
        <w:rPr>
          <w:rFonts w:ascii="Arial" w:eastAsia="Times New Roman" w:hAnsi="Arial" w:cs="Arial"/>
          <w:sz w:val="20"/>
          <w:szCs w:val="20"/>
          <w:lang w:eastAsia="lv-LV"/>
        </w:rPr>
        <w:t xml:space="preserve">līdz 2023.gada 1.septembrim </w:t>
      </w:r>
      <w:r w:rsidRPr="00E24E56">
        <w:rPr>
          <w:rFonts w:ascii="Arial" w:eastAsia="Times New Roman" w:hAnsi="Arial" w:cs="Arial"/>
          <w:sz w:val="20"/>
          <w:szCs w:val="20"/>
          <w:lang w:eastAsia="lv-LV"/>
        </w:rPr>
        <w:t xml:space="preserve">mājsaimniecības lietotājiem, kuri saņem VAS “Latvijas dzelzceļš” (turpmāk-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sniegto tirdzniecības pakalpojumu, izmantojot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sadales tīklu, ar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Valdes 15.08.2022. lēmumu  Nr.VL-1.6/263-2022, ir apstiprinātas jaunas elektroenerģijas cenas.</w:t>
      </w:r>
    </w:p>
    <w:p w14:paraId="4FF2D62D" w14:textId="5DDDF4A6"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xml:space="preserve">No </w:t>
      </w:r>
      <w:r w:rsidR="00D72B7E" w:rsidRPr="00E24E56">
        <w:rPr>
          <w:rFonts w:ascii="Arial" w:eastAsia="Times New Roman" w:hAnsi="Arial" w:cs="Arial"/>
          <w:sz w:val="20"/>
          <w:szCs w:val="20"/>
          <w:lang w:eastAsia="lv-LV"/>
        </w:rPr>
        <w:t>2022.gada 1.septembra</w:t>
      </w:r>
      <w:r w:rsidR="00E24E56" w:rsidRPr="00E24E56">
        <w:rPr>
          <w:rFonts w:ascii="Arial" w:eastAsia="Times New Roman" w:hAnsi="Arial" w:cs="Arial"/>
          <w:sz w:val="20"/>
          <w:szCs w:val="20"/>
          <w:lang w:eastAsia="lv-LV"/>
        </w:rPr>
        <w:t xml:space="preserve"> </w:t>
      </w:r>
      <w:r w:rsidR="00713CE1">
        <w:rPr>
          <w:rFonts w:ascii="Arial" w:eastAsia="Times New Roman" w:hAnsi="Arial" w:cs="Arial"/>
          <w:sz w:val="20"/>
          <w:szCs w:val="20"/>
          <w:lang w:eastAsia="lv-LV"/>
        </w:rPr>
        <w:t xml:space="preserve">līdz 2023.gada 1.septembrim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piedāvā izvēlei divus tirdzniecības pakalpojumus:</w:t>
      </w:r>
    </w:p>
    <w:p w14:paraId="320F6B9E" w14:textId="306641E3" w:rsidR="00AF0D20" w:rsidRPr="00E24E56" w:rsidRDefault="00AF0D20" w:rsidP="00E24E56">
      <w:pPr>
        <w:pStyle w:val="ListParagraph"/>
        <w:numPr>
          <w:ilvl w:val="0"/>
          <w:numId w:val="5"/>
        </w:num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Universālais pakalpojums ar elektroenerģijas cenu 0,3925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 xml:space="preserve"> apmērā bez PVN (cena netiks mainīta tirdzniecības perioda laikā. Par cenas maiņu jaunam tirdzniecības periodam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paziņos LIETOTĀJAM vismaz 30 (trīsdesmit) dienas iepriekš);</w:t>
      </w:r>
    </w:p>
    <w:p w14:paraId="14A05C20" w14:textId="06FCAD8F" w:rsidR="00AF0D20" w:rsidRPr="00E24E56" w:rsidRDefault="00AF0D20" w:rsidP="00E24E56">
      <w:pPr>
        <w:pStyle w:val="ListParagraph"/>
        <w:numPr>
          <w:ilvl w:val="0"/>
          <w:numId w:val="5"/>
        </w:num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Ekonomiskais tarifa plāns ar elektroenerģijas cenu 0,3744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 apmērā bez PVN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ir tiesības piedāvāt grozīt maksu par tirdzniecības pakalpojumu ne vairāk kā 2 reizes kalendārā gada laikā, par to paziņojot LIETOTĀJAM vismaz 30 (trīsdesmit) dienas iepriekš).</w:t>
      </w:r>
    </w:p>
    <w:p w14:paraId="66FAF54A"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tirdzniecības pakalpojumi, darbojas tikai mājsaimniecības lietotājiem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sadales sistēmas operatora licences darbības zonā. </w:t>
      </w:r>
    </w:p>
    <w:p w14:paraId="44A10487"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elektroenerģijas sadales sistēmas pakalpojumu tarifi apstiprināti ar Sabiedrisko pakalpojumu regulēšanas komisijas padomes 2013.gada 20.marta lēmumu N.57 (ir spēkā no 2013.gada 1.maija).</w:t>
      </w:r>
    </w:p>
    <w:p w14:paraId="7037976A" w14:textId="0B6ACAF4"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No 2013.gada 1.maija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sadales sistēmas pakalpojumu tarifs lietotājiem, kuru elektroietaišu piederības robeža ir zemsprieguma 0,23-0,4 </w:t>
      </w:r>
      <w:proofErr w:type="spellStart"/>
      <w:r w:rsidRPr="00E24E56">
        <w:rPr>
          <w:rFonts w:ascii="Arial" w:eastAsia="Times New Roman" w:hAnsi="Arial" w:cs="Arial"/>
          <w:sz w:val="20"/>
          <w:szCs w:val="20"/>
          <w:lang w:eastAsia="lv-LV"/>
        </w:rPr>
        <w:t>kV</w:t>
      </w:r>
      <w:proofErr w:type="spellEnd"/>
      <w:r w:rsidRPr="00E24E56">
        <w:rPr>
          <w:rFonts w:ascii="Arial" w:eastAsia="Times New Roman" w:hAnsi="Arial" w:cs="Arial"/>
          <w:sz w:val="20"/>
          <w:szCs w:val="20"/>
          <w:lang w:eastAsia="lv-LV"/>
        </w:rPr>
        <w:t xml:space="preserve"> līnijās, ir 0,073934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 apmērā (bez</w:t>
      </w:r>
      <w:r w:rsidR="008B0C2E" w:rsidRPr="00E24E56">
        <w:rPr>
          <w:rFonts w:ascii="Arial" w:eastAsia="Times New Roman" w:hAnsi="Arial" w:cs="Arial"/>
          <w:sz w:val="20"/>
          <w:szCs w:val="20"/>
          <w:lang w:eastAsia="lv-LV"/>
        </w:rPr>
        <w:t xml:space="preserve"> </w:t>
      </w:r>
      <w:r w:rsidRPr="00E24E56">
        <w:rPr>
          <w:rFonts w:ascii="Arial" w:eastAsia="Times New Roman" w:hAnsi="Arial" w:cs="Arial"/>
          <w:sz w:val="20"/>
          <w:szCs w:val="20"/>
          <w:lang w:eastAsia="lv-LV"/>
        </w:rPr>
        <w:t>PVN) (darbojas</w:t>
      </w:r>
      <w:r w:rsidR="008B0C2E" w:rsidRPr="00E24E56">
        <w:rPr>
          <w:rFonts w:ascii="Arial" w:eastAsia="Times New Roman" w:hAnsi="Arial" w:cs="Arial"/>
          <w:sz w:val="20"/>
          <w:szCs w:val="20"/>
          <w:lang w:eastAsia="lv-LV"/>
        </w:rPr>
        <w:t xml:space="preserve"> </w:t>
      </w:r>
      <w:r w:rsidRPr="00E24E56">
        <w:rPr>
          <w:rFonts w:ascii="Arial" w:eastAsia="Times New Roman" w:hAnsi="Arial" w:cs="Arial"/>
          <w:sz w:val="20"/>
          <w:szCs w:val="20"/>
          <w:lang w:eastAsia="lv-LV"/>
        </w:rPr>
        <w:t xml:space="preserve">tikai mājsaimniecības lietotājiem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sadales sistēmas operatora licences darbības zonā). </w:t>
      </w:r>
    </w:p>
    <w:p w14:paraId="1FB8BEB0"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KOPĒJO MAKSU PAR ELEKTRĪBU VEIDO 3 DAĻAS (1.TABULA):</w:t>
      </w:r>
    </w:p>
    <w:p w14:paraId="0D781F1C" w14:textId="77777777" w:rsidR="00AF0D20" w:rsidRPr="00E24E56" w:rsidRDefault="00AF0D20" w:rsidP="00E24E56">
      <w:pPr>
        <w:numPr>
          <w:ilvl w:val="0"/>
          <w:numId w:val="1"/>
        </w:numPr>
        <w:shd w:val="clear" w:color="auto" w:fill="FFFFFF"/>
        <w:spacing w:before="100" w:beforeAutospacing="1" w:after="100" w:afterAutospacing="1"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xml:space="preserve">elektroenerģijas cena, kuru </w:t>
      </w:r>
      <w:proofErr w:type="spellStart"/>
      <w:r w:rsidRPr="00E24E56">
        <w:rPr>
          <w:rFonts w:ascii="Arial" w:eastAsia="Times New Roman" w:hAnsi="Arial" w:cs="Arial"/>
          <w:sz w:val="20"/>
          <w:szCs w:val="20"/>
          <w:lang w:eastAsia="lv-LV"/>
        </w:rPr>
        <w:t>LDz</w:t>
      </w:r>
      <w:proofErr w:type="spellEnd"/>
      <w:r w:rsidRPr="00E24E56">
        <w:rPr>
          <w:rFonts w:ascii="Arial" w:eastAsia="Times New Roman" w:hAnsi="Arial" w:cs="Arial"/>
          <w:sz w:val="20"/>
          <w:szCs w:val="20"/>
          <w:lang w:eastAsia="lv-LV"/>
        </w:rPr>
        <w:t xml:space="preserve"> jums piedāvā kā Jūsu izvēlētais tirgotājs;</w:t>
      </w:r>
    </w:p>
    <w:p w14:paraId="544E3F5A" w14:textId="77777777" w:rsidR="00AF0D20" w:rsidRPr="00E24E56" w:rsidRDefault="00AF0D20" w:rsidP="00E24E56">
      <w:pPr>
        <w:numPr>
          <w:ilvl w:val="0"/>
          <w:numId w:val="2"/>
        </w:numPr>
        <w:shd w:val="clear" w:color="auto" w:fill="FFFFFF"/>
        <w:spacing w:before="100" w:beforeAutospacing="1" w:after="100" w:afterAutospacing="1"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maksa par sadales pakalpojumiem, ko visiem klientiem savā licenču zonā nosaka VAS "Latvijas dzelzceļš";</w:t>
      </w:r>
    </w:p>
    <w:p w14:paraId="3B9AA448" w14:textId="144A6021" w:rsidR="00AF0D20" w:rsidRPr="00E24E56" w:rsidRDefault="00AF0D20" w:rsidP="00E24E56">
      <w:pPr>
        <w:numPr>
          <w:ilvl w:val="0"/>
          <w:numId w:val="3"/>
        </w:numPr>
        <w:shd w:val="clear" w:color="auto" w:fill="FFFFFF"/>
        <w:spacing w:before="100" w:beforeAutospacing="1" w:after="100" w:afterAutospacing="1"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maksa par obligātā iepirkuma un jaudas komponentēm (OIK), ko nosaka un regulē valsts.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842"/>
        <w:gridCol w:w="1843"/>
      </w:tblGrid>
      <w:tr w:rsidR="00E24E56" w:rsidRPr="00E24E56" w14:paraId="6336A1A6" w14:textId="77777777" w:rsidTr="00E24E56">
        <w:tc>
          <w:tcPr>
            <w:tcW w:w="4390" w:type="dxa"/>
            <w:shd w:val="clear" w:color="auto" w:fill="auto"/>
            <w:tcMar>
              <w:top w:w="75" w:type="dxa"/>
              <w:left w:w="75" w:type="dxa"/>
              <w:bottom w:w="75" w:type="dxa"/>
              <w:right w:w="75" w:type="dxa"/>
            </w:tcMar>
            <w:hideMark/>
          </w:tcPr>
          <w:p w14:paraId="369D3107"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Maksa par elektrību sastāv no</w:t>
            </w:r>
          </w:p>
        </w:tc>
        <w:tc>
          <w:tcPr>
            <w:tcW w:w="1842" w:type="dxa"/>
            <w:shd w:val="clear" w:color="auto" w:fill="auto"/>
            <w:tcMar>
              <w:top w:w="75" w:type="dxa"/>
              <w:left w:w="75" w:type="dxa"/>
              <w:bottom w:w="75" w:type="dxa"/>
              <w:right w:w="75" w:type="dxa"/>
            </w:tcMar>
            <w:hideMark/>
          </w:tcPr>
          <w:p w14:paraId="476EAF56" w14:textId="77777777" w:rsidR="00AF0D20" w:rsidRPr="00E24E56" w:rsidRDefault="00AF0D20" w:rsidP="00E24E56">
            <w:pPr>
              <w:spacing w:after="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Universālais pakalpojums</w:t>
            </w:r>
          </w:p>
          <w:p w14:paraId="7C494F41" w14:textId="65EDC835" w:rsidR="00AF0D20" w:rsidRPr="00E24E56" w:rsidRDefault="00A75EC8" w:rsidP="00E24E56">
            <w:pPr>
              <w:spacing w:after="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n</w:t>
            </w:r>
            <w:r w:rsidR="00AF0D20" w:rsidRPr="00E24E56">
              <w:rPr>
                <w:rFonts w:ascii="Arial" w:eastAsia="Times New Roman" w:hAnsi="Arial" w:cs="Arial"/>
                <w:sz w:val="20"/>
                <w:szCs w:val="20"/>
                <w:lang w:eastAsia="lv-LV"/>
              </w:rPr>
              <w:t>o</w:t>
            </w:r>
            <w:r w:rsidRPr="00E24E56">
              <w:rPr>
                <w:rFonts w:ascii="Arial" w:eastAsia="Times New Roman" w:hAnsi="Arial" w:cs="Arial"/>
                <w:sz w:val="20"/>
                <w:szCs w:val="20"/>
                <w:lang w:eastAsia="lv-LV"/>
              </w:rPr>
              <w:t xml:space="preserve"> </w:t>
            </w:r>
            <w:r w:rsidR="00AF0D20" w:rsidRPr="00E24E56">
              <w:rPr>
                <w:rFonts w:ascii="Arial" w:eastAsia="Times New Roman" w:hAnsi="Arial" w:cs="Arial"/>
                <w:sz w:val="20"/>
                <w:szCs w:val="20"/>
                <w:lang w:eastAsia="lv-LV"/>
              </w:rPr>
              <w:t>01.</w:t>
            </w:r>
            <w:r w:rsidR="00944BED" w:rsidRPr="00E24E56">
              <w:rPr>
                <w:rFonts w:ascii="Arial" w:eastAsia="Times New Roman" w:hAnsi="Arial" w:cs="Arial"/>
                <w:sz w:val="20"/>
                <w:szCs w:val="20"/>
                <w:lang w:eastAsia="lv-LV"/>
              </w:rPr>
              <w:t>01</w:t>
            </w:r>
            <w:r w:rsidR="00AF0D20" w:rsidRPr="00E24E56">
              <w:rPr>
                <w:rFonts w:ascii="Arial" w:eastAsia="Times New Roman" w:hAnsi="Arial" w:cs="Arial"/>
                <w:sz w:val="20"/>
                <w:szCs w:val="20"/>
                <w:lang w:eastAsia="lv-LV"/>
              </w:rPr>
              <w:t>.202</w:t>
            </w:r>
            <w:r w:rsidR="00944BED" w:rsidRPr="00E24E56">
              <w:rPr>
                <w:rFonts w:ascii="Arial" w:eastAsia="Times New Roman" w:hAnsi="Arial" w:cs="Arial"/>
                <w:sz w:val="20"/>
                <w:szCs w:val="20"/>
                <w:lang w:eastAsia="lv-LV"/>
              </w:rPr>
              <w:t>3</w:t>
            </w:r>
            <w:r w:rsidR="00AF0D20" w:rsidRPr="00E24E56">
              <w:rPr>
                <w:rFonts w:ascii="Arial" w:eastAsia="Times New Roman" w:hAnsi="Arial" w:cs="Arial"/>
                <w:sz w:val="20"/>
                <w:szCs w:val="20"/>
                <w:lang w:eastAsia="lv-LV"/>
              </w:rPr>
              <w:t>. (bez PVN)</w:t>
            </w:r>
          </w:p>
        </w:tc>
        <w:tc>
          <w:tcPr>
            <w:tcW w:w="1843" w:type="dxa"/>
            <w:shd w:val="clear" w:color="auto" w:fill="auto"/>
            <w:tcMar>
              <w:top w:w="75" w:type="dxa"/>
              <w:left w:w="75" w:type="dxa"/>
              <w:bottom w:w="75" w:type="dxa"/>
              <w:right w:w="75" w:type="dxa"/>
            </w:tcMar>
            <w:hideMark/>
          </w:tcPr>
          <w:p w14:paraId="237268BA" w14:textId="77777777" w:rsidR="00AF0D20" w:rsidRPr="00E24E56" w:rsidRDefault="00AF0D20" w:rsidP="00E24E56">
            <w:pPr>
              <w:spacing w:after="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Ekonomiskais tarifa plāns</w:t>
            </w:r>
          </w:p>
          <w:p w14:paraId="772861A3" w14:textId="4E9A63F6" w:rsidR="00AF0D20" w:rsidRPr="00E24E56" w:rsidRDefault="00AF0D20" w:rsidP="00E24E56">
            <w:pPr>
              <w:spacing w:after="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no 01.</w:t>
            </w:r>
            <w:r w:rsidR="00944BED" w:rsidRPr="00E24E56">
              <w:rPr>
                <w:rFonts w:ascii="Arial" w:eastAsia="Times New Roman" w:hAnsi="Arial" w:cs="Arial"/>
                <w:sz w:val="20"/>
                <w:szCs w:val="20"/>
                <w:lang w:eastAsia="lv-LV"/>
              </w:rPr>
              <w:t>01</w:t>
            </w:r>
            <w:r w:rsidRPr="00E24E56">
              <w:rPr>
                <w:rFonts w:ascii="Arial" w:eastAsia="Times New Roman" w:hAnsi="Arial" w:cs="Arial"/>
                <w:sz w:val="20"/>
                <w:szCs w:val="20"/>
                <w:lang w:eastAsia="lv-LV"/>
              </w:rPr>
              <w:t>.202</w:t>
            </w:r>
            <w:r w:rsidR="00944BED" w:rsidRPr="00E24E56">
              <w:rPr>
                <w:rFonts w:ascii="Arial" w:eastAsia="Times New Roman" w:hAnsi="Arial" w:cs="Arial"/>
                <w:sz w:val="20"/>
                <w:szCs w:val="20"/>
                <w:lang w:eastAsia="lv-LV"/>
              </w:rPr>
              <w:t>3</w:t>
            </w:r>
            <w:r w:rsidRPr="00E24E56">
              <w:rPr>
                <w:rFonts w:ascii="Arial" w:eastAsia="Times New Roman" w:hAnsi="Arial" w:cs="Arial"/>
                <w:sz w:val="20"/>
                <w:szCs w:val="20"/>
                <w:lang w:eastAsia="lv-LV"/>
              </w:rPr>
              <w:t>. (bez PVN)</w:t>
            </w:r>
          </w:p>
        </w:tc>
      </w:tr>
      <w:tr w:rsidR="00E24E56" w:rsidRPr="00E24E56" w14:paraId="6E3DB46B" w14:textId="77777777" w:rsidTr="00E24E56">
        <w:tc>
          <w:tcPr>
            <w:tcW w:w="8075" w:type="dxa"/>
            <w:gridSpan w:val="3"/>
            <w:shd w:val="clear" w:color="auto" w:fill="auto"/>
            <w:tcMar>
              <w:top w:w="75" w:type="dxa"/>
              <w:left w:w="75" w:type="dxa"/>
              <w:bottom w:w="75" w:type="dxa"/>
              <w:right w:w="75" w:type="dxa"/>
            </w:tcMar>
            <w:hideMark/>
          </w:tcPr>
          <w:p w14:paraId="41E44BD3" w14:textId="77777777" w:rsidR="00AF0D20" w:rsidRPr="00E24E56" w:rsidRDefault="00AF0D20" w:rsidP="00E24E56">
            <w:pPr>
              <w:spacing w:after="150" w:line="240" w:lineRule="auto"/>
              <w:jc w:val="both"/>
              <w:rPr>
                <w:rFonts w:ascii="Arial" w:eastAsia="Times New Roman" w:hAnsi="Arial" w:cs="Arial"/>
                <w:b/>
                <w:bCs/>
                <w:sz w:val="20"/>
                <w:szCs w:val="20"/>
                <w:lang w:eastAsia="lv-LV"/>
              </w:rPr>
            </w:pPr>
            <w:r w:rsidRPr="00E24E56">
              <w:rPr>
                <w:rFonts w:ascii="Arial" w:eastAsia="Times New Roman" w:hAnsi="Arial" w:cs="Arial"/>
                <w:b/>
                <w:bCs/>
                <w:sz w:val="20"/>
                <w:szCs w:val="20"/>
                <w:lang w:eastAsia="lv-LV"/>
              </w:rPr>
              <w:t>Elektroenerģijas cena</w:t>
            </w:r>
          </w:p>
        </w:tc>
      </w:tr>
      <w:tr w:rsidR="00E24E56" w:rsidRPr="00E24E56" w14:paraId="52CEBA53" w14:textId="77777777" w:rsidTr="00E24E56">
        <w:tc>
          <w:tcPr>
            <w:tcW w:w="4390" w:type="dxa"/>
            <w:shd w:val="clear" w:color="auto" w:fill="auto"/>
            <w:tcMar>
              <w:top w:w="75" w:type="dxa"/>
              <w:left w:w="75" w:type="dxa"/>
              <w:bottom w:w="75" w:type="dxa"/>
              <w:right w:w="75" w:type="dxa"/>
            </w:tcMar>
            <w:hideMark/>
          </w:tcPr>
          <w:p w14:paraId="503F53BF" w14:textId="77777777" w:rsidR="00AF0D20" w:rsidRPr="00E24E56" w:rsidRDefault="00AF0D20" w:rsidP="00E24E56">
            <w:pPr>
              <w:spacing w:after="150" w:line="240" w:lineRule="auto"/>
              <w:ind w:left="600"/>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Elektroenerģijas cena,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w:t>
            </w:r>
          </w:p>
        </w:tc>
        <w:tc>
          <w:tcPr>
            <w:tcW w:w="1842" w:type="dxa"/>
            <w:shd w:val="clear" w:color="auto" w:fill="auto"/>
            <w:tcMar>
              <w:top w:w="75" w:type="dxa"/>
              <w:left w:w="75" w:type="dxa"/>
              <w:bottom w:w="75" w:type="dxa"/>
              <w:right w:w="75" w:type="dxa"/>
            </w:tcMar>
            <w:hideMark/>
          </w:tcPr>
          <w:p w14:paraId="287CAF5D"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0,3925</w:t>
            </w:r>
          </w:p>
        </w:tc>
        <w:tc>
          <w:tcPr>
            <w:tcW w:w="1843" w:type="dxa"/>
            <w:shd w:val="clear" w:color="auto" w:fill="auto"/>
            <w:tcMar>
              <w:top w:w="75" w:type="dxa"/>
              <w:left w:w="75" w:type="dxa"/>
              <w:bottom w:w="75" w:type="dxa"/>
              <w:right w:w="75" w:type="dxa"/>
            </w:tcMar>
            <w:hideMark/>
          </w:tcPr>
          <w:p w14:paraId="5260489E"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0,3744</w:t>
            </w:r>
          </w:p>
        </w:tc>
      </w:tr>
      <w:tr w:rsidR="00E24E56" w:rsidRPr="00E24E56" w14:paraId="21B46497" w14:textId="77777777" w:rsidTr="00E24E56">
        <w:tc>
          <w:tcPr>
            <w:tcW w:w="8075" w:type="dxa"/>
            <w:gridSpan w:val="3"/>
            <w:shd w:val="clear" w:color="auto" w:fill="auto"/>
            <w:tcMar>
              <w:top w:w="75" w:type="dxa"/>
              <w:left w:w="75" w:type="dxa"/>
              <w:bottom w:w="75" w:type="dxa"/>
              <w:right w:w="75" w:type="dxa"/>
            </w:tcMar>
            <w:hideMark/>
          </w:tcPr>
          <w:p w14:paraId="5FCEF5B1" w14:textId="77777777" w:rsidR="00AF0D20" w:rsidRPr="00E24E56" w:rsidRDefault="00AF0D20" w:rsidP="00E24E56">
            <w:pPr>
              <w:spacing w:after="150" w:line="240" w:lineRule="auto"/>
              <w:jc w:val="both"/>
              <w:rPr>
                <w:rFonts w:ascii="Arial" w:eastAsia="Times New Roman" w:hAnsi="Arial" w:cs="Arial"/>
                <w:b/>
                <w:bCs/>
                <w:sz w:val="20"/>
                <w:szCs w:val="20"/>
                <w:lang w:eastAsia="lv-LV"/>
              </w:rPr>
            </w:pPr>
            <w:r w:rsidRPr="00E24E56">
              <w:rPr>
                <w:rFonts w:ascii="Arial" w:eastAsia="Times New Roman" w:hAnsi="Arial" w:cs="Arial"/>
                <w:b/>
                <w:bCs/>
                <w:sz w:val="20"/>
                <w:szCs w:val="20"/>
                <w:lang w:eastAsia="lv-LV"/>
              </w:rPr>
              <w:t>Sistēmas pakalpojumi</w:t>
            </w:r>
          </w:p>
        </w:tc>
      </w:tr>
      <w:tr w:rsidR="00E24E56" w:rsidRPr="00E24E56" w14:paraId="7F13CC35" w14:textId="77777777" w:rsidTr="00E24E56">
        <w:tc>
          <w:tcPr>
            <w:tcW w:w="4390" w:type="dxa"/>
            <w:shd w:val="clear" w:color="auto" w:fill="auto"/>
            <w:tcMar>
              <w:top w:w="75" w:type="dxa"/>
              <w:left w:w="75" w:type="dxa"/>
              <w:bottom w:w="75" w:type="dxa"/>
              <w:right w:w="75" w:type="dxa"/>
            </w:tcMar>
            <w:hideMark/>
          </w:tcPr>
          <w:p w14:paraId="2083ADCE" w14:textId="77777777" w:rsidR="00AF0D20" w:rsidRPr="00E24E56" w:rsidRDefault="00AF0D20" w:rsidP="00E24E56">
            <w:pPr>
              <w:spacing w:after="150" w:line="240" w:lineRule="auto"/>
              <w:ind w:left="600"/>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Maksa par elektroenerģijas piegādi,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w:t>
            </w:r>
          </w:p>
        </w:tc>
        <w:tc>
          <w:tcPr>
            <w:tcW w:w="1842" w:type="dxa"/>
            <w:shd w:val="clear" w:color="auto" w:fill="auto"/>
            <w:tcMar>
              <w:top w:w="75" w:type="dxa"/>
              <w:left w:w="75" w:type="dxa"/>
              <w:bottom w:w="75" w:type="dxa"/>
              <w:right w:w="75" w:type="dxa"/>
            </w:tcMar>
            <w:hideMark/>
          </w:tcPr>
          <w:p w14:paraId="76AF6D1B"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0,073934</w:t>
            </w:r>
          </w:p>
        </w:tc>
        <w:tc>
          <w:tcPr>
            <w:tcW w:w="1843" w:type="dxa"/>
            <w:shd w:val="clear" w:color="auto" w:fill="auto"/>
            <w:tcMar>
              <w:top w:w="75" w:type="dxa"/>
              <w:left w:w="75" w:type="dxa"/>
              <w:bottom w:w="75" w:type="dxa"/>
              <w:right w:w="75" w:type="dxa"/>
            </w:tcMar>
            <w:hideMark/>
          </w:tcPr>
          <w:p w14:paraId="42F9AAA1"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0,073934</w:t>
            </w:r>
          </w:p>
        </w:tc>
      </w:tr>
      <w:tr w:rsidR="00E24E56" w:rsidRPr="00E24E56" w14:paraId="27591FCD" w14:textId="77777777" w:rsidTr="00E24E56">
        <w:tc>
          <w:tcPr>
            <w:tcW w:w="8075" w:type="dxa"/>
            <w:gridSpan w:val="3"/>
            <w:shd w:val="clear" w:color="auto" w:fill="auto"/>
            <w:tcMar>
              <w:top w:w="75" w:type="dxa"/>
              <w:left w:w="75" w:type="dxa"/>
              <w:bottom w:w="75" w:type="dxa"/>
              <w:right w:w="75" w:type="dxa"/>
            </w:tcMar>
            <w:hideMark/>
          </w:tcPr>
          <w:p w14:paraId="358E18C5" w14:textId="77777777" w:rsidR="00AF0D20" w:rsidRPr="00E24E56" w:rsidRDefault="00AF0D20" w:rsidP="00E24E56">
            <w:pPr>
              <w:spacing w:after="150" w:line="240" w:lineRule="auto"/>
              <w:jc w:val="both"/>
              <w:rPr>
                <w:rFonts w:ascii="Arial" w:eastAsia="Times New Roman" w:hAnsi="Arial" w:cs="Arial"/>
                <w:b/>
                <w:bCs/>
                <w:sz w:val="20"/>
                <w:szCs w:val="20"/>
                <w:lang w:eastAsia="lv-LV"/>
              </w:rPr>
            </w:pPr>
            <w:r w:rsidRPr="00E24E56">
              <w:rPr>
                <w:rFonts w:ascii="Arial" w:eastAsia="Times New Roman" w:hAnsi="Arial" w:cs="Arial"/>
                <w:b/>
                <w:bCs/>
                <w:sz w:val="20"/>
                <w:szCs w:val="20"/>
                <w:lang w:eastAsia="lv-LV"/>
              </w:rPr>
              <w:t>Obligātā iepirkuma komponentes </w:t>
            </w:r>
          </w:p>
        </w:tc>
      </w:tr>
      <w:tr w:rsidR="00E24E56" w:rsidRPr="00E24E56" w14:paraId="5FD97BEE" w14:textId="77777777" w:rsidTr="00E24E56">
        <w:tc>
          <w:tcPr>
            <w:tcW w:w="4390" w:type="dxa"/>
            <w:shd w:val="clear" w:color="auto" w:fill="auto"/>
            <w:tcMar>
              <w:top w:w="75" w:type="dxa"/>
              <w:left w:w="75" w:type="dxa"/>
              <w:bottom w:w="75" w:type="dxa"/>
              <w:right w:w="75" w:type="dxa"/>
            </w:tcMar>
            <w:hideMark/>
          </w:tcPr>
          <w:p w14:paraId="2125B3F9" w14:textId="77777777" w:rsidR="00AF0D20" w:rsidRPr="00E24E56" w:rsidRDefault="00AF0D20" w:rsidP="00E24E56">
            <w:pPr>
              <w:spacing w:after="150" w:line="240" w:lineRule="auto"/>
              <w:ind w:left="600"/>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Obligātā iepirkuma komponentes,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w:t>
            </w:r>
          </w:p>
        </w:tc>
        <w:tc>
          <w:tcPr>
            <w:tcW w:w="1842" w:type="dxa"/>
            <w:shd w:val="clear" w:color="auto" w:fill="auto"/>
            <w:tcMar>
              <w:top w:w="75" w:type="dxa"/>
              <w:left w:w="75" w:type="dxa"/>
              <w:bottom w:w="75" w:type="dxa"/>
              <w:right w:w="75" w:type="dxa"/>
            </w:tcMar>
            <w:hideMark/>
          </w:tcPr>
          <w:p w14:paraId="3E760949" w14:textId="10C79F43" w:rsidR="00AF0D20" w:rsidRPr="00E24E56" w:rsidRDefault="00944BED"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w:t>
            </w:r>
          </w:p>
        </w:tc>
        <w:tc>
          <w:tcPr>
            <w:tcW w:w="1843" w:type="dxa"/>
            <w:shd w:val="clear" w:color="auto" w:fill="auto"/>
            <w:tcMar>
              <w:top w:w="75" w:type="dxa"/>
              <w:left w:w="75" w:type="dxa"/>
              <w:bottom w:w="75" w:type="dxa"/>
              <w:right w:w="75" w:type="dxa"/>
            </w:tcMar>
            <w:hideMark/>
          </w:tcPr>
          <w:p w14:paraId="514F0757" w14:textId="01E634BB" w:rsidR="00AF0D20" w:rsidRPr="00E24E56" w:rsidRDefault="00944BED"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w:t>
            </w:r>
          </w:p>
        </w:tc>
      </w:tr>
      <w:tr w:rsidR="00E24E56" w:rsidRPr="00E24E56" w14:paraId="3C9EC630" w14:textId="77777777" w:rsidTr="00E24E56">
        <w:tc>
          <w:tcPr>
            <w:tcW w:w="4390" w:type="dxa"/>
            <w:shd w:val="clear" w:color="auto" w:fill="auto"/>
            <w:tcMar>
              <w:top w:w="75" w:type="dxa"/>
              <w:left w:w="75" w:type="dxa"/>
              <w:bottom w:w="75" w:type="dxa"/>
              <w:right w:w="75" w:type="dxa"/>
            </w:tcMar>
            <w:hideMark/>
          </w:tcPr>
          <w:p w14:paraId="357445CF" w14:textId="77777777" w:rsidR="00AF0D20" w:rsidRPr="00E24E56" w:rsidRDefault="00AF0D20" w:rsidP="00E24E56">
            <w:pPr>
              <w:spacing w:after="150" w:line="240" w:lineRule="auto"/>
              <w:ind w:left="600"/>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lastRenderedPageBreak/>
              <w:t>Jaudas komponente* (1 fāze, līdz 40A),  (EUR mēnesī)</w:t>
            </w:r>
          </w:p>
        </w:tc>
        <w:tc>
          <w:tcPr>
            <w:tcW w:w="1842" w:type="dxa"/>
            <w:shd w:val="clear" w:color="auto" w:fill="auto"/>
            <w:tcMar>
              <w:top w:w="75" w:type="dxa"/>
              <w:left w:w="75" w:type="dxa"/>
              <w:bottom w:w="75" w:type="dxa"/>
              <w:right w:w="75" w:type="dxa"/>
            </w:tcMar>
            <w:hideMark/>
          </w:tcPr>
          <w:p w14:paraId="48A6E2B3" w14:textId="6CF3350B" w:rsidR="00AF0D20" w:rsidRPr="00E24E56" w:rsidRDefault="00944BED"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w:t>
            </w:r>
          </w:p>
        </w:tc>
        <w:tc>
          <w:tcPr>
            <w:tcW w:w="1843" w:type="dxa"/>
            <w:shd w:val="clear" w:color="auto" w:fill="auto"/>
            <w:tcMar>
              <w:top w:w="75" w:type="dxa"/>
              <w:left w:w="75" w:type="dxa"/>
              <w:bottom w:w="75" w:type="dxa"/>
              <w:right w:w="75" w:type="dxa"/>
            </w:tcMar>
            <w:hideMark/>
          </w:tcPr>
          <w:p w14:paraId="4553D853" w14:textId="3EC770CB" w:rsidR="00AF0D20" w:rsidRPr="00E24E56" w:rsidRDefault="00944BED"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w:t>
            </w:r>
          </w:p>
        </w:tc>
      </w:tr>
    </w:tbl>
    <w:p w14:paraId="3225F7B4"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w:t>
      </w:r>
    </w:p>
    <w:p w14:paraId="759C8D2D"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Kopējā maksa par elektrību tiek aplikta arī ar pievienotās vērtības nodokli 21% apmērā.</w:t>
      </w:r>
    </w:p>
    <w:p w14:paraId="11E100EB"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*Obligātā jaudas komponente (</w:t>
      </w:r>
      <w:hyperlink r:id="rId5" w:history="1">
        <w:r w:rsidRPr="00E24E56">
          <w:rPr>
            <w:rFonts w:ascii="Arial" w:eastAsia="Times New Roman" w:hAnsi="Arial" w:cs="Arial"/>
            <w:sz w:val="20"/>
            <w:szCs w:val="20"/>
            <w:u w:val="single"/>
            <w:lang w:eastAsia="lv-LV"/>
          </w:rPr>
          <w:t>OIK</w:t>
        </w:r>
      </w:hyperlink>
      <w:r w:rsidRPr="00E24E56">
        <w:rPr>
          <w:rFonts w:ascii="Arial" w:eastAsia="Times New Roman" w:hAnsi="Arial" w:cs="Arial"/>
          <w:sz w:val="20"/>
          <w:szCs w:val="20"/>
          <w:lang w:eastAsia="lv-LV"/>
        </w:rPr>
        <w:t xml:space="preserve">) atkarīga no elektrības </w:t>
      </w:r>
      <w:proofErr w:type="spellStart"/>
      <w:r w:rsidRPr="00E24E56">
        <w:rPr>
          <w:rFonts w:ascii="Arial" w:eastAsia="Times New Roman" w:hAnsi="Arial" w:cs="Arial"/>
          <w:sz w:val="20"/>
          <w:szCs w:val="20"/>
          <w:lang w:eastAsia="lv-LV"/>
        </w:rPr>
        <w:t>pieslēguma</w:t>
      </w:r>
      <w:proofErr w:type="spellEnd"/>
      <w:r w:rsidRPr="00E24E56">
        <w:rPr>
          <w:rFonts w:ascii="Arial" w:eastAsia="Times New Roman" w:hAnsi="Arial" w:cs="Arial"/>
          <w:sz w:val="20"/>
          <w:szCs w:val="20"/>
          <w:lang w:eastAsia="lv-LV"/>
        </w:rPr>
        <w:t xml:space="preserve"> sprieguma pakāpes un patēriņa grupas (2.tabulā)</w:t>
      </w:r>
    </w:p>
    <w:p w14:paraId="7FECFDBA" w14:textId="77777777" w:rsidR="00AF0D20" w:rsidRPr="00E24E56" w:rsidRDefault="00AF0D20" w:rsidP="00E24E56">
      <w:pPr>
        <w:shd w:val="clear" w:color="auto" w:fill="FFFFFF"/>
        <w:spacing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2.tabula</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3"/>
        <w:gridCol w:w="1929"/>
        <w:gridCol w:w="1843"/>
      </w:tblGrid>
      <w:tr w:rsidR="00E24E56" w:rsidRPr="00E24E56" w14:paraId="65BE2DA0" w14:textId="77777777" w:rsidTr="00E24E56">
        <w:tc>
          <w:tcPr>
            <w:tcW w:w="4303" w:type="dxa"/>
            <w:shd w:val="clear" w:color="auto" w:fill="auto"/>
            <w:tcMar>
              <w:top w:w="75" w:type="dxa"/>
              <w:left w:w="75" w:type="dxa"/>
              <w:bottom w:w="75" w:type="dxa"/>
              <w:right w:w="75" w:type="dxa"/>
            </w:tcMar>
            <w:hideMark/>
          </w:tcPr>
          <w:p w14:paraId="41CEB7EA"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Lietotāju patēriņa grupa (</w:t>
            </w:r>
            <w:proofErr w:type="spellStart"/>
            <w:r w:rsidRPr="00E24E56">
              <w:rPr>
                <w:rFonts w:ascii="Arial" w:eastAsia="Times New Roman" w:hAnsi="Arial" w:cs="Arial"/>
                <w:sz w:val="20"/>
                <w:szCs w:val="20"/>
                <w:lang w:eastAsia="lv-LV"/>
              </w:rPr>
              <w:t>pieslēguma</w:t>
            </w:r>
            <w:proofErr w:type="spellEnd"/>
            <w:r w:rsidRPr="00E24E56">
              <w:rPr>
                <w:rFonts w:ascii="Arial" w:eastAsia="Times New Roman" w:hAnsi="Arial" w:cs="Arial"/>
                <w:sz w:val="20"/>
                <w:szCs w:val="20"/>
                <w:lang w:eastAsia="lv-LV"/>
              </w:rPr>
              <w:t xml:space="preserve"> tehniskie parametri)</w:t>
            </w:r>
          </w:p>
        </w:tc>
        <w:tc>
          <w:tcPr>
            <w:tcW w:w="1929" w:type="dxa"/>
            <w:shd w:val="clear" w:color="auto" w:fill="auto"/>
            <w:tcMar>
              <w:top w:w="75" w:type="dxa"/>
              <w:left w:w="75" w:type="dxa"/>
              <w:bottom w:w="75" w:type="dxa"/>
              <w:right w:w="75" w:type="dxa"/>
            </w:tcMar>
            <w:hideMark/>
          </w:tcPr>
          <w:p w14:paraId="327262DA"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Obligātās jaudas komponentes mērvienība</w:t>
            </w:r>
          </w:p>
        </w:tc>
        <w:tc>
          <w:tcPr>
            <w:tcW w:w="1843" w:type="dxa"/>
            <w:shd w:val="clear" w:color="auto" w:fill="auto"/>
            <w:tcMar>
              <w:top w:w="75" w:type="dxa"/>
              <w:left w:w="75" w:type="dxa"/>
              <w:bottom w:w="75" w:type="dxa"/>
              <w:right w:w="75" w:type="dxa"/>
            </w:tcMar>
            <w:hideMark/>
          </w:tcPr>
          <w:p w14:paraId="69470CAD"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Obligātās jaudas komponente (bez PVN)</w:t>
            </w:r>
          </w:p>
        </w:tc>
      </w:tr>
      <w:tr w:rsidR="00E24E56" w:rsidRPr="00E24E56" w14:paraId="263E4443" w14:textId="77777777" w:rsidTr="00E24E56">
        <w:tc>
          <w:tcPr>
            <w:tcW w:w="4303" w:type="dxa"/>
            <w:shd w:val="clear" w:color="auto" w:fill="auto"/>
            <w:tcMar>
              <w:top w:w="75" w:type="dxa"/>
              <w:left w:w="75" w:type="dxa"/>
              <w:bottom w:w="75" w:type="dxa"/>
              <w:right w:w="75" w:type="dxa"/>
            </w:tcMar>
            <w:hideMark/>
          </w:tcPr>
          <w:p w14:paraId="4BE938BA"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xml:space="preserve">Mājsaimniecību vienfāzes </w:t>
            </w:r>
            <w:proofErr w:type="spellStart"/>
            <w:r w:rsidRPr="00E24E56">
              <w:rPr>
                <w:rFonts w:ascii="Arial" w:eastAsia="Times New Roman" w:hAnsi="Arial" w:cs="Arial"/>
                <w:sz w:val="20"/>
                <w:szCs w:val="20"/>
                <w:lang w:eastAsia="lv-LV"/>
              </w:rPr>
              <w:t>pieslēgums</w:t>
            </w:r>
            <w:proofErr w:type="spellEnd"/>
            <w:r w:rsidRPr="00E24E56">
              <w:rPr>
                <w:rFonts w:ascii="Arial" w:eastAsia="Times New Roman" w:hAnsi="Arial" w:cs="Arial"/>
                <w:sz w:val="20"/>
                <w:szCs w:val="20"/>
                <w:lang w:eastAsia="lv-LV"/>
              </w:rPr>
              <w:t xml:space="preserve"> ar </w:t>
            </w:r>
            <w:proofErr w:type="spellStart"/>
            <w:r w:rsidRPr="00E24E56">
              <w:rPr>
                <w:rFonts w:ascii="Arial" w:eastAsia="Times New Roman" w:hAnsi="Arial" w:cs="Arial"/>
                <w:sz w:val="20"/>
                <w:szCs w:val="20"/>
                <w:lang w:eastAsia="lv-LV"/>
              </w:rPr>
              <w:t>ievadaizsardzības</w:t>
            </w:r>
            <w:proofErr w:type="spellEnd"/>
            <w:r w:rsidRPr="00E24E56">
              <w:rPr>
                <w:rFonts w:ascii="Arial" w:eastAsia="Times New Roman" w:hAnsi="Arial" w:cs="Arial"/>
                <w:sz w:val="20"/>
                <w:szCs w:val="20"/>
                <w:lang w:eastAsia="lv-LV"/>
              </w:rPr>
              <w:t xml:space="preserve"> strāvas lielumu līdz 40 A</w:t>
            </w:r>
          </w:p>
        </w:tc>
        <w:tc>
          <w:tcPr>
            <w:tcW w:w="1929" w:type="dxa"/>
            <w:shd w:val="clear" w:color="auto" w:fill="auto"/>
            <w:tcMar>
              <w:top w:w="75" w:type="dxa"/>
              <w:left w:w="75" w:type="dxa"/>
              <w:bottom w:w="75" w:type="dxa"/>
              <w:right w:w="75" w:type="dxa"/>
            </w:tcMar>
            <w:hideMark/>
          </w:tcPr>
          <w:p w14:paraId="4D321D19"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EUR/mēnesī</w:t>
            </w:r>
          </w:p>
        </w:tc>
        <w:tc>
          <w:tcPr>
            <w:tcW w:w="1843" w:type="dxa"/>
            <w:shd w:val="clear" w:color="auto" w:fill="auto"/>
            <w:tcMar>
              <w:top w:w="75" w:type="dxa"/>
              <w:left w:w="75" w:type="dxa"/>
              <w:bottom w:w="75" w:type="dxa"/>
              <w:right w:w="75" w:type="dxa"/>
            </w:tcMar>
            <w:hideMark/>
          </w:tcPr>
          <w:p w14:paraId="169326A5" w14:textId="7EB96927" w:rsidR="00AF0D20" w:rsidRPr="00E24E56" w:rsidRDefault="00944BED"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w:t>
            </w:r>
          </w:p>
        </w:tc>
      </w:tr>
      <w:tr w:rsidR="00E24E56" w:rsidRPr="00E24E56" w14:paraId="1C0E2399" w14:textId="77777777" w:rsidTr="00E24E56">
        <w:tc>
          <w:tcPr>
            <w:tcW w:w="4303" w:type="dxa"/>
            <w:shd w:val="clear" w:color="auto" w:fill="auto"/>
            <w:tcMar>
              <w:top w:w="75" w:type="dxa"/>
              <w:left w:w="75" w:type="dxa"/>
              <w:bottom w:w="75" w:type="dxa"/>
              <w:right w:w="75" w:type="dxa"/>
            </w:tcMar>
            <w:hideMark/>
          </w:tcPr>
          <w:p w14:paraId="3DCD7A48"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xml:space="preserve">Mājsaimniecību </w:t>
            </w:r>
            <w:proofErr w:type="spellStart"/>
            <w:r w:rsidRPr="00E24E56">
              <w:rPr>
                <w:rFonts w:ascii="Arial" w:eastAsia="Times New Roman" w:hAnsi="Arial" w:cs="Arial"/>
                <w:sz w:val="20"/>
                <w:szCs w:val="20"/>
                <w:lang w:eastAsia="lv-LV"/>
              </w:rPr>
              <w:t>trīsfāžu</w:t>
            </w:r>
            <w:proofErr w:type="spellEnd"/>
            <w:r w:rsidRPr="00E24E56">
              <w:rPr>
                <w:rFonts w:ascii="Arial" w:eastAsia="Times New Roman" w:hAnsi="Arial" w:cs="Arial"/>
                <w:sz w:val="20"/>
                <w:szCs w:val="20"/>
                <w:lang w:eastAsia="lv-LV"/>
              </w:rPr>
              <w:t xml:space="preserve"> </w:t>
            </w:r>
            <w:proofErr w:type="spellStart"/>
            <w:r w:rsidRPr="00E24E56">
              <w:rPr>
                <w:rFonts w:ascii="Arial" w:eastAsia="Times New Roman" w:hAnsi="Arial" w:cs="Arial"/>
                <w:sz w:val="20"/>
                <w:szCs w:val="20"/>
                <w:lang w:eastAsia="lv-LV"/>
              </w:rPr>
              <w:t>pieslēgums</w:t>
            </w:r>
            <w:proofErr w:type="spellEnd"/>
            <w:r w:rsidRPr="00E24E56">
              <w:rPr>
                <w:rFonts w:ascii="Arial" w:eastAsia="Times New Roman" w:hAnsi="Arial" w:cs="Arial"/>
                <w:sz w:val="20"/>
                <w:szCs w:val="20"/>
                <w:lang w:eastAsia="lv-LV"/>
              </w:rPr>
              <w:t xml:space="preserve"> ar </w:t>
            </w:r>
            <w:proofErr w:type="spellStart"/>
            <w:r w:rsidRPr="00E24E56">
              <w:rPr>
                <w:rFonts w:ascii="Arial" w:eastAsia="Times New Roman" w:hAnsi="Arial" w:cs="Arial"/>
                <w:sz w:val="20"/>
                <w:szCs w:val="20"/>
                <w:lang w:eastAsia="lv-LV"/>
              </w:rPr>
              <w:t>ievadaizsardzības</w:t>
            </w:r>
            <w:proofErr w:type="spellEnd"/>
            <w:r w:rsidRPr="00E24E56">
              <w:rPr>
                <w:rFonts w:ascii="Arial" w:eastAsia="Times New Roman" w:hAnsi="Arial" w:cs="Arial"/>
                <w:sz w:val="20"/>
                <w:szCs w:val="20"/>
                <w:lang w:eastAsia="lv-LV"/>
              </w:rPr>
              <w:t xml:space="preserve"> strāvas lielumu līdz 16 A ieskaitot</w:t>
            </w:r>
          </w:p>
        </w:tc>
        <w:tc>
          <w:tcPr>
            <w:tcW w:w="1929" w:type="dxa"/>
            <w:shd w:val="clear" w:color="auto" w:fill="auto"/>
            <w:tcMar>
              <w:top w:w="75" w:type="dxa"/>
              <w:left w:w="75" w:type="dxa"/>
              <w:bottom w:w="75" w:type="dxa"/>
              <w:right w:w="75" w:type="dxa"/>
            </w:tcMar>
            <w:hideMark/>
          </w:tcPr>
          <w:p w14:paraId="0ED901FD"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EUR/mēnesī</w:t>
            </w:r>
          </w:p>
        </w:tc>
        <w:tc>
          <w:tcPr>
            <w:tcW w:w="1843" w:type="dxa"/>
            <w:shd w:val="clear" w:color="auto" w:fill="auto"/>
            <w:tcMar>
              <w:top w:w="75" w:type="dxa"/>
              <w:left w:w="75" w:type="dxa"/>
              <w:bottom w:w="75" w:type="dxa"/>
              <w:right w:w="75" w:type="dxa"/>
            </w:tcMar>
            <w:hideMark/>
          </w:tcPr>
          <w:p w14:paraId="362DF49E" w14:textId="7424EDD0" w:rsidR="00AF0D20" w:rsidRPr="00E24E56" w:rsidRDefault="00944BED"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w:t>
            </w:r>
          </w:p>
        </w:tc>
      </w:tr>
      <w:tr w:rsidR="00E24E56" w:rsidRPr="00E24E56" w14:paraId="555556DC" w14:textId="77777777" w:rsidTr="00E24E56">
        <w:tc>
          <w:tcPr>
            <w:tcW w:w="4303" w:type="dxa"/>
            <w:shd w:val="clear" w:color="auto" w:fill="auto"/>
            <w:tcMar>
              <w:top w:w="75" w:type="dxa"/>
              <w:left w:w="75" w:type="dxa"/>
              <w:bottom w:w="75" w:type="dxa"/>
              <w:right w:w="75" w:type="dxa"/>
            </w:tcMar>
            <w:hideMark/>
          </w:tcPr>
          <w:p w14:paraId="65786205"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xml:space="preserve">Mājsaimniecību </w:t>
            </w:r>
            <w:proofErr w:type="spellStart"/>
            <w:r w:rsidRPr="00E24E56">
              <w:rPr>
                <w:rFonts w:ascii="Arial" w:eastAsia="Times New Roman" w:hAnsi="Arial" w:cs="Arial"/>
                <w:sz w:val="20"/>
                <w:szCs w:val="20"/>
                <w:lang w:eastAsia="lv-LV"/>
              </w:rPr>
              <w:t>trīsfāžu</w:t>
            </w:r>
            <w:proofErr w:type="spellEnd"/>
            <w:r w:rsidRPr="00E24E56">
              <w:rPr>
                <w:rFonts w:ascii="Arial" w:eastAsia="Times New Roman" w:hAnsi="Arial" w:cs="Arial"/>
                <w:sz w:val="20"/>
                <w:szCs w:val="20"/>
                <w:lang w:eastAsia="lv-LV"/>
              </w:rPr>
              <w:t xml:space="preserve"> </w:t>
            </w:r>
            <w:proofErr w:type="spellStart"/>
            <w:r w:rsidRPr="00E24E56">
              <w:rPr>
                <w:rFonts w:ascii="Arial" w:eastAsia="Times New Roman" w:hAnsi="Arial" w:cs="Arial"/>
                <w:sz w:val="20"/>
                <w:szCs w:val="20"/>
                <w:lang w:eastAsia="lv-LV"/>
              </w:rPr>
              <w:t>pieslēgums</w:t>
            </w:r>
            <w:proofErr w:type="spellEnd"/>
            <w:r w:rsidRPr="00E24E56">
              <w:rPr>
                <w:rFonts w:ascii="Arial" w:eastAsia="Times New Roman" w:hAnsi="Arial" w:cs="Arial"/>
                <w:sz w:val="20"/>
                <w:szCs w:val="20"/>
                <w:lang w:eastAsia="lv-LV"/>
              </w:rPr>
              <w:t xml:space="preserve"> ar </w:t>
            </w:r>
            <w:proofErr w:type="spellStart"/>
            <w:r w:rsidRPr="00E24E56">
              <w:rPr>
                <w:rFonts w:ascii="Arial" w:eastAsia="Times New Roman" w:hAnsi="Arial" w:cs="Arial"/>
                <w:sz w:val="20"/>
                <w:szCs w:val="20"/>
                <w:lang w:eastAsia="lv-LV"/>
              </w:rPr>
              <w:t>ievadaizsardzības</w:t>
            </w:r>
            <w:proofErr w:type="spellEnd"/>
            <w:r w:rsidRPr="00E24E56">
              <w:rPr>
                <w:rFonts w:ascii="Arial" w:eastAsia="Times New Roman" w:hAnsi="Arial" w:cs="Arial"/>
                <w:sz w:val="20"/>
                <w:szCs w:val="20"/>
                <w:lang w:eastAsia="lv-LV"/>
              </w:rPr>
              <w:t xml:space="preserve"> strāvas lielumu no 17 A līdz 63 A</w:t>
            </w:r>
          </w:p>
        </w:tc>
        <w:tc>
          <w:tcPr>
            <w:tcW w:w="1929" w:type="dxa"/>
            <w:shd w:val="clear" w:color="auto" w:fill="auto"/>
            <w:tcMar>
              <w:top w:w="75" w:type="dxa"/>
              <w:left w:w="75" w:type="dxa"/>
              <w:bottom w:w="75" w:type="dxa"/>
              <w:right w:w="75" w:type="dxa"/>
            </w:tcMar>
            <w:hideMark/>
          </w:tcPr>
          <w:p w14:paraId="565557EB" w14:textId="77777777" w:rsidR="00AF0D20" w:rsidRPr="00E24E56" w:rsidRDefault="00AF0D20"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EUR/A/mēnesī</w:t>
            </w:r>
          </w:p>
        </w:tc>
        <w:tc>
          <w:tcPr>
            <w:tcW w:w="1843" w:type="dxa"/>
            <w:shd w:val="clear" w:color="auto" w:fill="auto"/>
            <w:tcMar>
              <w:top w:w="75" w:type="dxa"/>
              <w:left w:w="75" w:type="dxa"/>
              <w:bottom w:w="75" w:type="dxa"/>
              <w:right w:w="75" w:type="dxa"/>
            </w:tcMar>
            <w:hideMark/>
          </w:tcPr>
          <w:p w14:paraId="231AC71D" w14:textId="4E55931F" w:rsidR="00AF0D20" w:rsidRPr="00E24E56" w:rsidRDefault="00944BED" w:rsidP="00E24E56">
            <w:pPr>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0</w:t>
            </w:r>
          </w:p>
        </w:tc>
      </w:tr>
    </w:tbl>
    <w:p w14:paraId="45F22005"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w:t>
      </w:r>
    </w:p>
    <w:p w14:paraId="01B2A642" w14:textId="3957380E"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Izmaiņas Jūsu maksājumā ir atkarīgas no</w:t>
      </w:r>
      <w:r w:rsidR="00D902E4" w:rsidRPr="00E24E56">
        <w:rPr>
          <w:rFonts w:ascii="Arial" w:eastAsia="Times New Roman" w:hAnsi="Arial" w:cs="Arial"/>
          <w:sz w:val="20"/>
          <w:szCs w:val="20"/>
          <w:lang w:eastAsia="lv-LV"/>
        </w:rPr>
        <w:t xml:space="preserve"> </w:t>
      </w:r>
      <w:r w:rsidRPr="00E24E56">
        <w:rPr>
          <w:rFonts w:ascii="Arial" w:eastAsia="Times New Roman" w:hAnsi="Arial" w:cs="Arial"/>
          <w:sz w:val="20"/>
          <w:szCs w:val="20"/>
          <w:lang w:eastAsia="lv-LV"/>
        </w:rPr>
        <w:t>ikmēneša elektrības patēriņa kilovatstundā</w:t>
      </w:r>
      <w:r w:rsidR="00D902E4" w:rsidRPr="00E24E56">
        <w:rPr>
          <w:rFonts w:ascii="Arial" w:eastAsia="Times New Roman" w:hAnsi="Arial" w:cs="Arial"/>
          <w:sz w:val="20"/>
          <w:szCs w:val="20"/>
          <w:lang w:eastAsia="lv-LV"/>
        </w:rPr>
        <w:t>m</w:t>
      </w:r>
      <w:r w:rsidRPr="00E24E56">
        <w:rPr>
          <w:rFonts w:ascii="Arial" w:eastAsia="Times New Roman" w:hAnsi="Arial" w:cs="Arial"/>
          <w:sz w:val="20"/>
          <w:szCs w:val="20"/>
          <w:lang w:eastAsia="lv-LV"/>
        </w:rPr>
        <w:t xml:space="preserve"> (</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w:t>
      </w:r>
      <w:r w:rsidR="00D902E4" w:rsidRPr="00E24E56">
        <w:rPr>
          <w:rFonts w:ascii="Arial" w:eastAsia="Times New Roman" w:hAnsi="Arial" w:cs="Arial"/>
          <w:sz w:val="20"/>
          <w:szCs w:val="20"/>
          <w:lang w:eastAsia="lv-LV"/>
        </w:rPr>
        <w:t>.</w:t>
      </w:r>
    </w:p>
    <w:p w14:paraId="56CD6203"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Pakalpojumu maksas aprēķināšanai </w:t>
      </w:r>
      <w:hyperlink r:id="rId6" w:history="1">
        <w:r w:rsidRPr="00E24E56">
          <w:rPr>
            <w:rFonts w:ascii="Arial" w:eastAsia="Times New Roman" w:hAnsi="Arial" w:cs="Arial"/>
            <w:sz w:val="20"/>
            <w:szCs w:val="20"/>
            <w:u w:val="single"/>
            <w:lang w:eastAsia="lv-LV"/>
          </w:rPr>
          <w:t>piedāvājam izmantot kalkulatoru.</w:t>
        </w:r>
      </w:hyperlink>
    </w:p>
    <w:p w14:paraId="6C6DB440" w14:textId="77777777" w:rsidR="00AF0D20" w:rsidRPr="00E24E56" w:rsidRDefault="00AF0D20" w:rsidP="00E24E56">
      <w:pPr>
        <w:shd w:val="clear" w:color="auto" w:fill="FFFFFF"/>
        <w:spacing w:after="150" w:line="240" w:lineRule="auto"/>
        <w:jc w:val="both"/>
        <w:rPr>
          <w:rFonts w:ascii="Arial" w:eastAsia="Times New Roman" w:hAnsi="Arial" w:cs="Arial"/>
          <w:sz w:val="20"/>
          <w:szCs w:val="20"/>
          <w:lang w:eastAsia="lv-LV"/>
        </w:rPr>
      </w:pPr>
      <w:r w:rsidRPr="00E24E56">
        <w:rPr>
          <w:rFonts w:ascii="Arial" w:eastAsia="Times New Roman" w:hAnsi="Arial" w:cs="Arial"/>
          <w:sz w:val="20"/>
          <w:szCs w:val="20"/>
          <w:lang w:eastAsia="lv-LV"/>
        </w:rPr>
        <w:t xml:space="preserve">Mājsaimniecības lietotājam laikposmā no 2022. gada 1. oktobra līdz 2023. gada 30. aprīlim piemēro maksas samazinājumu par katrā mēnesī patērētajām pirmajām 100 kilovatstundām. Elektroenerģijas cenas pieauguma kompensēšanai visām mājsaimniecībām pirmajām 100 </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 xml:space="preserve"> ik mēnesi tiks piemērota fiksēta maksa 0,16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 xml:space="preserve">, un valsts kompensēs atlikušo starpību līdz tirgus cenai. Savukārt par elektroenerģijas patēriņu virs 100 </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 xml:space="preserve"> mājsaimniecība maksās atbilstoši elektroenerģijas tirdzniecības līgumā noteiktajai cenai (ja mājsaimniecības lietotāja elektroenerģijas cena atbilstoši līgumam ir mazāka par 0,16 EUR/</w:t>
      </w:r>
      <w:proofErr w:type="spellStart"/>
      <w:r w:rsidRPr="00E24E56">
        <w:rPr>
          <w:rFonts w:ascii="Arial" w:eastAsia="Times New Roman" w:hAnsi="Arial" w:cs="Arial"/>
          <w:sz w:val="20"/>
          <w:szCs w:val="20"/>
          <w:lang w:eastAsia="lv-LV"/>
        </w:rPr>
        <w:t>kWh</w:t>
      </w:r>
      <w:proofErr w:type="spellEnd"/>
      <w:r w:rsidRPr="00E24E56">
        <w:rPr>
          <w:rFonts w:ascii="Arial" w:eastAsia="Times New Roman" w:hAnsi="Arial" w:cs="Arial"/>
          <w:sz w:val="20"/>
          <w:szCs w:val="20"/>
          <w:lang w:eastAsia="lv-LV"/>
        </w:rPr>
        <w:t>, lietotājs par elektroenerģiju norēķināsies atbilstoši līguma cenai un kompensācija netiks piemērota).</w:t>
      </w:r>
    </w:p>
    <w:p w14:paraId="47A8E8A5" w14:textId="77777777" w:rsidR="00AF0D20" w:rsidRPr="00E24E56" w:rsidRDefault="00AF0D20" w:rsidP="00E24E56">
      <w:pPr>
        <w:shd w:val="clear" w:color="auto" w:fill="FFFFFF"/>
        <w:spacing w:line="240" w:lineRule="auto"/>
        <w:jc w:val="both"/>
        <w:rPr>
          <w:rFonts w:ascii="Arial" w:eastAsia="Times New Roman" w:hAnsi="Arial" w:cs="Arial"/>
          <w:color w:val="333333"/>
          <w:sz w:val="20"/>
          <w:szCs w:val="20"/>
          <w:lang w:eastAsia="lv-LV"/>
        </w:rPr>
      </w:pPr>
      <w:r w:rsidRPr="00E24E56">
        <w:rPr>
          <w:rFonts w:ascii="Arial" w:eastAsia="Times New Roman" w:hAnsi="Arial" w:cs="Arial"/>
          <w:color w:val="333333"/>
          <w:sz w:val="20"/>
          <w:szCs w:val="20"/>
          <w:lang w:eastAsia="lv-LV"/>
        </w:rPr>
        <w:t> </w:t>
      </w:r>
    </w:p>
    <w:p w14:paraId="4F28ACD6" w14:textId="77777777" w:rsidR="00991B1A" w:rsidRPr="00E24E56" w:rsidRDefault="00991B1A" w:rsidP="00E24E56">
      <w:pPr>
        <w:jc w:val="both"/>
        <w:rPr>
          <w:rFonts w:ascii="Arial" w:hAnsi="Arial" w:cs="Arial"/>
          <w:sz w:val="20"/>
          <w:szCs w:val="20"/>
        </w:rPr>
      </w:pPr>
    </w:p>
    <w:sectPr w:rsidR="00991B1A" w:rsidRPr="00E24E56" w:rsidSect="00241B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A7B"/>
    <w:multiLevelType w:val="multilevel"/>
    <w:tmpl w:val="2F9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96A74"/>
    <w:multiLevelType w:val="hybridMultilevel"/>
    <w:tmpl w:val="3FEEE1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1A73C6C"/>
    <w:multiLevelType w:val="multilevel"/>
    <w:tmpl w:val="5FA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17B6A"/>
    <w:multiLevelType w:val="hybridMultilevel"/>
    <w:tmpl w:val="16C290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531A55"/>
    <w:multiLevelType w:val="multilevel"/>
    <w:tmpl w:val="CCC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7709A"/>
    <w:multiLevelType w:val="multilevel"/>
    <w:tmpl w:val="090E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816866">
    <w:abstractNumId w:val="0"/>
  </w:num>
  <w:num w:numId="2" w16cid:durableId="1515804564">
    <w:abstractNumId w:val="5"/>
  </w:num>
  <w:num w:numId="3" w16cid:durableId="825360555">
    <w:abstractNumId w:val="2"/>
  </w:num>
  <w:num w:numId="4" w16cid:durableId="1026368792">
    <w:abstractNumId w:val="4"/>
  </w:num>
  <w:num w:numId="5" w16cid:durableId="1813519268">
    <w:abstractNumId w:val="1"/>
  </w:num>
  <w:num w:numId="6" w16cid:durableId="172563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20"/>
    <w:rsid w:val="000A1248"/>
    <w:rsid w:val="000B1672"/>
    <w:rsid w:val="001828D4"/>
    <w:rsid w:val="001F2A66"/>
    <w:rsid w:val="00241B73"/>
    <w:rsid w:val="002708B3"/>
    <w:rsid w:val="00713CE1"/>
    <w:rsid w:val="00793225"/>
    <w:rsid w:val="008B0C2E"/>
    <w:rsid w:val="00944BED"/>
    <w:rsid w:val="00951D5B"/>
    <w:rsid w:val="00991B1A"/>
    <w:rsid w:val="009E784C"/>
    <w:rsid w:val="00A75EC8"/>
    <w:rsid w:val="00AF0D20"/>
    <w:rsid w:val="00D72B7E"/>
    <w:rsid w:val="00D902E4"/>
    <w:rsid w:val="00DA6984"/>
    <w:rsid w:val="00DA6B22"/>
    <w:rsid w:val="00E00ECF"/>
    <w:rsid w:val="00E24E56"/>
    <w:rsid w:val="00FB1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19A7"/>
  <w15:chartTrackingRefBased/>
  <w15:docId w15:val="{4D067CEF-E4A7-439B-899A-5526245C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384">
      <w:bodyDiv w:val="1"/>
      <w:marLeft w:val="0"/>
      <w:marRight w:val="0"/>
      <w:marTop w:val="0"/>
      <w:marBottom w:val="0"/>
      <w:divBdr>
        <w:top w:val="none" w:sz="0" w:space="0" w:color="auto"/>
        <w:left w:val="none" w:sz="0" w:space="0" w:color="auto"/>
        <w:bottom w:val="none" w:sz="0" w:space="0" w:color="auto"/>
        <w:right w:val="none" w:sz="0" w:space="0" w:color="auto"/>
      </w:divBdr>
      <w:divsChild>
        <w:div w:id="1184243728">
          <w:marLeft w:val="0"/>
          <w:marRight w:val="0"/>
          <w:marTop w:val="0"/>
          <w:marBottom w:val="0"/>
          <w:divBdr>
            <w:top w:val="none" w:sz="0" w:space="0" w:color="auto"/>
            <w:left w:val="none" w:sz="0" w:space="0" w:color="auto"/>
            <w:bottom w:val="none" w:sz="0" w:space="0" w:color="auto"/>
            <w:right w:val="none" w:sz="0" w:space="0" w:color="auto"/>
          </w:divBdr>
          <w:divsChild>
            <w:div w:id="47808049">
              <w:marLeft w:val="0"/>
              <w:marRight w:val="0"/>
              <w:marTop w:val="0"/>
              <w:marBottom w:val="0"/>
              <w:divBdr>
                <w:top w:val="none" w:sz="0" w:space="0" w:color="auto"/>
                <w:left w:val="none" w:sz="0" w:space="0" w:color="auto"/>
                <w:bottom w:val="none" w:sz="0" w:space="0" w:color="auto"/>
                <w:right w:val="none" w:sz="0" w:space="0" w:color="auto"/>
              </w:divBdr>
              <w:divsChild>
                <w:div w:id="760613191">
                  <w:marLeft w:val="0"/>
                  <w:marRight w:val="0"/>
                  <w:marTop w:val="0"/>
                  <w:marBottom w:val="0"/>
                  <w:divBdr>
                    <w:top w:val="none" w:sz="0" w:space="0" w:color="auto"/>
                    <w:left w:val="none" w:sz="0" w:space="0" w:color="auto"/>
                    <w:bottom w:val="none" w:sz="0" w:space="0" w:color="auto"/>
                    <w:right w:val="none" w:sz="0" w:space="0" w:color="auto"/>
                  </w:divBdr>
                  <w:divsChild>
                    <w:div w:id="2061514136">
                      <w:marLeft w:val="0"/>
                      <w:marRight w:val="0"/>
                      <w:marTop w:val="0"/>
                      <w:marBottom w:val="480"/>
                      <w:divBdr>
                        <w:top w:val="none" w:sz="0" w:space="0" w:color="auto"/>
                        <w:left w:val="none" w:sz="0" w:space="0" w:color="auto"/>
                        <w:bottom w:val="none" w:sz="0" w:space="0" w:color="auto"/>
                        <w:right w:val="none" w:sz="0" w:space="0" w:color="auto"/>
                      </w:divBdr>
                      <w:divsChild>
                        <w:div w:id="1195658509">
                          <w:marLeft w:val="0"/>
                          <w:marRight w:val="0"/>
                          <w:marTop w:val="0"/>
                          <w:marBottom w:val="0"/>
                          <w:divBdr>
                            <w:top w:val="none" w:sz="0" w:space="0" w:color="auto"/>
                            <w:left w:val="none" w:sz="0" w:space="0" w:color="auto"/>
                            <w:bottom w:val="none" w:sz="0" w:space="0" w:color="auto"/>
                            <w:right w:val="none" w:sz="0" w:space="0" w:color="auto"/>
                          </w:divBdr>
                          <w:divsChild>
                            <w:div w:id="1930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z.lv/lv/elektroenergiju-aprekinasanas-kalkulators" TargetMode="External"/><Relationship Id="rId5" Type="http://schemas.openxmlformats.org/officeDocument/2006/relationships/hyperlink" Target="https://www.ldz.lv/lv/oblig%C4%81ta-iepirkuma-komponen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2550</Words>
  <Characters>1454</Characters>
  <Application>Microsoft Office Word</Application>
  <DocSecurity>0</DocSecurity>
  <Lines>12</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Cenas un kalkulators</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Dmitrijeva</dc:creator>
  <cp:keywords/>
  <dc:description/>
  <cp:lastModifiedBy>Ieva Kārkliņa</cp:lastModifiedBy>
  <cp:revision>6</cp:revision>
  <dcterms:created xsi:type="dcterms:W3CDTF">2023-08-03T08:25:00Z</dcterms:created>
  <dcterms:modified xsi:type="dcterms:W3CDTF">2023-08-03T08:43:00Z</dcterms:modified>
</cp:coreProperties>
</file>