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90E6" w14:textId="77777777" w:rsidR="005F697A" w:rsidRPr="00B20ED2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7A11BA1E" w14:textId="77777777" w:rsidR="00153DF3" w:rsidRPr="00B20ED2" w:rsidRDefault="00153DF3" w:rsidP="00153DF3">
      <w:pPr>
        <w:suppressAutoHyphens/>
        <w:autoSpaceDN w:val="0"/>
        <w:spacing w:before="36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AS “LatRailNet”</w:t>
      </w:r>
    </w:p>
    <w:p w14:paraId="151E06C3" w14:textId="77777777" w:rsidR="00153DF3" w:rsidRPr="00B20ED2" w:rsidRDefault="00153DF3" w:rsidP="00153DF3">
      <w:pPr>
        <w:suppressAutoHyphens/>
        <w:autoSpaceDN w:val="0"/>
        <w:spacing w:after="240"/>
        <w:jc w:val="right"/>
        <w:textAlignment w:val="baseline"/>
        <w:rPr>
          <w:rFonts w:ascii="Arial" w:eastAsia="Calibri" w:hAnsi="Arial" w:cs="Arial"/>
          <w:sz w:val="20"/>
          <w:szCs w:val="22"/>
          <w:lang w:val="lv-LV"/>
        </w:rPr>
      </w:pPr>
      <w:r w:rsidRPr="00B20ED2">
        <w:rPr>
          <w:rFonts w:ascii="Arial" w:eastAsia="Calibri" w:hAnsi="Arial" w:cs="Arial"/>
          <w:sz w:val="20"/>
          <w:szCs w:val="22"/>
          <w:lang w:val="lv-LV"/>
        </w:rPr>
        <w:t>Jaudas sadales dispečeram</w:t>
      </w:r>
    </w:p>
    <w:p w14:paraId="3BF6360A" w14:textId="097BCB1C" w:rsidR="00153DF3" w:rsidRPr="00442423" w:rsidRDefault="00153DF3" w:rsidP="00153DF3">
      <w:pPr>
        <w:suppressAutoHyphens/>
        <w:autoSpaceDN w:val="0"/>
        <w:spacing w:before="480" w:after="200"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val="lv-LV" w:bidi="en-US"/>
        </w:rPr>
      </w:pP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 xml:space="preserve">priekšlikumi operatīvĀ jaudas sadales </w:t>
      </w:r>
      <w:r w:rsidR="00540AA3">
        <w:rPr>
          <w:rFonts w:ascii="Arial" w:eastAsia="Calibri" w:hAnsi="Arial" w:cs="Arial"/>
          <w:b/>
          <w:caps/>
          <w:sz w:val="28"/>
          <w:szCs w:val="20"/>
          <w:lang w:val="lv-LV"/>
        </w:rPr>
        <w:br/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plāna sastādīšanai N</w:t>
      </w:r>
      <w:r w:rsidRPr="00540AA3">
        <w:rPr>
          <w:rFonts w:ascii="Arial" w:eastAsia="Calibri" w:hAnsi="Arial" w:cs="Arial"/>
          <w:b/>
          <w:sz w:val="28"/>
          <w:szCs w:val="20"/>
          <w:lang w:val="lv-LV"/>
        </w:rPr>
        <w:t>r</w:t>
      </w:r>
      <w:r w:rsidRPr="00540AA3">
        <w:rPr>
          <w:rFonts w:ascii="Arial" w:eastAsia="Calibri" w:hAnsi="Arial" w:cs="Arial"/>
          <w:b/>
          <w:caps/>
          <w:sz w:val="28"/>
          <w:szCs w:val="20"/>
          <w:lang w:val="lv-LV"/>
        </w:rPr>
        <w:t>.</w:t>
      </w:r>
      <w:r w:rsidR="00B20ED2" w:rsidRPr="00B20ED2">
        <w:rPr>
          <w:rFonts w:ascii="Arial" w:hAnsi="Arial" w:cs="Arial"/>
          <w:b/>
          <w:sz w:val="20"/>
        </w:rPr>
        <w:t xml:space="preserve"> 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20ED2" w:rsidRPr="00725224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B20ED2" w:rsidRPr="00725224">
        <w:rPr>
          <w:rFonts w:ascii="Arial" w:hAnsi="Arial" w:cs="Arial"/>
          <w:b/>
          <w:sz w:val="28"/>
          <w:szCs w:val="28"/>
        </w:rPr>
      </w:r>
      <w:r w:rsidR="00B20ED2" w:rsidRPr="00725224">
        <w:rPr>
          <w:rFonts w:ascii="Arial" w:hAnsi="Arial" w:cs="Arial"/>
          <w:b/>
          <w:sz w:val="28"/>
          <w:szCs w:val="28"/>
        </w:rPr>
        <w:fldChar w:fldCharType="separate"/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noProof/>
          <w:sz w:val="28"/>
          <w:szCs w:val="28"/>
        </w:rPr>
        <w:t> </w:t>
      </w:r>
      <w:r w:rsidR="00B20ED2" w:rsidRPr="00725224"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80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153DF3" w:rsidRPr="00442423" w14:paraId="21A6EB45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3F73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par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10F05" w14:textId="209D714B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F2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  <w:r w:rsidRPr="00442423">
              <w:rPr>
                <w:rFonts w:ascii="Arial" w:eastAsia="Calibri" w:hAnsi="Arial" w:cs="Arial"/>
                <w:sz w:val="20"/>
                <w:szCs w:val="20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883A" w14:textId="19C9E5F3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lang w:val="lv-LV"/>
              </w:rPr>
            </w:pPr>
          </w:p>
        </w:tc>
      </w:tr>
      <w:tr w:rsidR="00153DF3" w:rsidRPr="00442423" w14:paraId="09ED4A42" w14:textId="77777777" w:rsidTr="00590189">
        <w:trPr>
          <w:jc w:val="center"/>
        </w:trPr>
        <w:tc>
          <w:tcPr>
            <w:tcW w:w="7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C738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819F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90D7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  <w:vertAlign w:val="superscript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68E4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val="lv-LV" w:bidi="en-US"/>
              </w:rPr>
            </w:pPr>
            <w:r w:rsidRPr="0044242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lv-LV"/>
              </w:rPr>
              <w:t>(plānošanas periods)</w:t>
            </w:r>
          </w:p>
        </w:tc>
      </w:tr>
    </w:tbl>
    <w:p w14:paraId="6F46813E" w14:textId="77777777" w:rsidR="00153DF3" w:rsidRPr="00442423" w:rsidRDefault="00153DF3" w:rsidP="00153DF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Cs w:val="20"/>
          <w:lang w:val="lv-LV"/>
        </w:rPr>
      </w:pPr>
    </w:p>
    <w:p w14:paraId="7ED91B5C" w14:textId="77777777" w:rsidR="00153DF3" w:rsidRPr="00442423" w:rsidRDefault="00153DF3" w:rsidP="00B20ED2">
      <w:pPr>
        <w:suppressAutoHyphens/>
        <w:autoSpaceDN w:val="0"/>
        <w:spacing w:after="200" w:line="276" w:lineRule="auto"/>
        <w:ind w:firstLine="284"/>
        <w:textAlignment w:val="baseline"/>
        <w:rPr>
          <w:rFonts w:ascii="Arial" w:eastAsia="Calibri" w:hAnsi="Arial" w:cs="Arial"/>
          <w:szCs w:val="20"/>
          <w:lang w:val="lv-LV"/>
        </w:rPr>
      </w:pPr>
      <w:r w:rsidRPr="00442423">
        <w:rPr>
          <w:rFonts w:ascii="Arial" w:eastAsia="Calibri" w:hAnsi="Arial" w:cs="Arial"/>
          <w:sz w:val="20"/>
          <w:szCs w:val="20"/>
          <w:lang w:val="lv-LV"/>
        </w:rPr>
        <w:t>Lūdzu operatīvajā jaudas sadales plānā iedalīt vilcienu ceļus</w:t>
      </w:r>
      <w:r w:rsidRPr="00442423">
        <w:rPr>
          <w:rFonts w:ascii="Arial" w:eastAsia="Calibri" w:hAnsi="Arial" w:cs="Arial"/>
          <w:szCs w:val="20"/>
          <w:lang w:val="lv-LV"/>
        </w:rPr>
        <w:t>:</w:t>
      </w: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669"/>
        <w:gridCol w:w="1668"/>
        <w:gridCol w:w="1669"/>
        <w:gridCol w:w="1668"/>
        <w:gridCol w:w="1669"/>
      </w:tblGrid>
      <w:tr w:rsidR="00153DF3" w:rsidRPr="0006209E" w14:paraId="5010DBFA" w14:textId="77777777" w:rsidTr="00B20ED2">
        <w:trPr>
          <w:trHeight w:val="43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B91BB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28FC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maršruts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2546E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atiešanas laiks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DCE1E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lokomotīves Nr.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8F351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lok. brigāde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B60E3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b/>
                <w:sz w:val="18"/>
                <w:szCs w:val="18"/>
                <w:lang w:val="lv-LV"/>
              </w:rPr>
              <w:t>piezīmes</w:t>
            </w:r>
          </w:p>
        </w:tc>
      </w:tr>
      <w:tr w:rsidR="00153DF3" w:rsidRPr="0006209E" w14:paraId="525E19A8" w14:textId="77777777" w:rsidTr="00540AA3">
        <w:trPr>
          <w:trHeight w:val="22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D4D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A3AB1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5D50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84B4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1C188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A7DEF" w14:textId="77777777" w:rsidR="00153DF3" w:rsidRPr="00B20ED2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6"/>
                <w:szCs w:val="18"/>
                <w:lang w:val="lv-LV"/>
              </w:rPr>
            </w:pPr>
            <w:r w:rsidRPr="00B20ED2">
              <w:rPr>
                <w:rFonts w:ascii="Arial" w:eastAsia="Calibri" w:hAnsi="Arial" w:cs="Arial"/>
                <w:sz w:val="16"/>
                <w:szCs w:val="18"/>
                <w:lang w:val="lv-LV"/>
              </w:rPr>
              <w:t>6</w:t>
            </w:r>
          </w:p>
        </w:tc>
      </w:tr>
      <w:tr w:rsidR="00153DF3" w:rsidRPr="0006209E" w14:paraId="2E40219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B28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D969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77E3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1EFE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C53C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7706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AD3DD1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4A5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D84D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F370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FD7F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D34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A22F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67E80999" w14:textId="77777777" w:rsidTr="00540AA3">
        <w:trPr>
          <w:trHeight w:val="291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9692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391B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95106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63AA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512F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4DEE7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4B0C802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52FF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CDF9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19D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B59D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1ABC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7A6A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1F557728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5B3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030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21EC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2B40C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1F36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43F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5B49C70E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908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9672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766A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A484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67F8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853F5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A1A14D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63C6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9015B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5DF2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E552D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664C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B4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2AE1CA19" w14:textId="77777777" w:rsidTr="00540AA3">
        <w:trPr>
          <w:trHeight w:val="279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5E26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ABA8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24FE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FB412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BF314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7F93A7" w:themeColor="accent2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0640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  <w:tr w:rsidR="00153DF3" w:rsidRPr="0006209E" w14:paraId="72D78766" w14:textId="77777777" w:rsidTr="00540AA3">
        <w:trPr>
          <w:trHeight w:val="302"/>
          <w:jc w:val="center"/>
        </w:trPr>
        <w:tc>
          <w:tcPr>
            <w:tcW w:w="1668" w:type="dxa"/>
            <w:tcBorders>
              <w:top w:val="single" w:sz="4" w:space="0" w:color="7F93A7" w:themeColor="accent2"/>
              <w:left w:val="single" w:sz="4" w:space="0" w:color="7F93A7" w:themeColor="accent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2FCDF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BBE0A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68D53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A78E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0DCE9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69" w:type="dxa"/>
            <w:tcBorders>
              <w:top w:val="single" w:sz="4" w:space="0" w:color="7F93A7" w:themeColor="accent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A6D1" w14:textId="77777777" w:rsidR="00153DF3" w:rsidRPr="00442423" w:rsidRDefault="00153DF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val="lv-LV"/>
              </w:rPr>
            </w:pPr>
          </w:p>
        </w:tc>
      </w:tr>
    </w:tbl>
    <w:p w14:paraId="51724E56" w14:textId="77777777" w:rsidR="00153DF3" w:rsidRPr="00442423" w:rsidRDefault="00153DF3" w:rsidP="00153DF3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  <w:szCs w:val="20"/>
          <w:u w:val="single"/>
          <w:lang w:val="lv-LV"/>
        </w:rPr>
      </w:pPr>
    </w:p>
    <w:p w14:paraId="293423DE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2.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vilcienu ceļu maršrutu atbilstoši dzelzceļa</w:t>
      </w:r>
      <w:r w:rsidR="00C139DF" w:rsidRPr="00B20ED2">
        <w:rPr>
          <w:rFonts w:ascii="Arial" w:eastAsia="Calibri" w:hAnsi="Arial" w:cs="Arial"/>
          <w:sz w:val="18"/>
          <w:szCs w:val="20"/>
          <w:lang w:val="lv-LV"/>
        </w:rPr>
        <w:t xml:space="preserve"> līniju maršrutu sarakstam (4.2.C 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>pielikums);</w:t>
      </w:r>
    </w:p>
    <w:p w14:paraId="5050C155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3.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vēlamo vilciena atiešanas laiku atbilstoši vilcienu kustības gada grafikam;</w:t>
      </w:r>
    </w:p>
    <w:p w14:paraId="4515B0DF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4.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ieplānoto vilces līdzekļa numuru (numurus, ja lokomotīves vairāk par vienu);</w:t>
      </w:r>
    </w:p>
    <w:p w14:paraId="6C2F306D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5.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ieplānotās lokomotīves brigādes piederību;</w:t>
      </w:r>
    </w:p>
    <w:p w14:paraId="6961C87F" w14:textId="77777777" w:rsidR="00153DF3" w:rsidRPr="00B20ED2" w:rsidRDefault="00153DF3" w:rsidP="00B20ED2">
      <w:pPr>
        <w:suppressAutoHyphens/>
        <w:autoSpaceDN w:val="0"/>
        <w:spacing w:line="276" w:lineRule="auto"/>
        <w:ind w:firstLine="284"/>
        <w:textAlignment w:val="baseline"/>
        <w:rPr>
          <w:rFonts w:ascii="Arial" w:eastAsia="Arial" w:hAnsi="Arial" w:cs="Arial"/>
          <w:sz w:val="18"/>
          <w:szCs w:val="20"/>
          <w:lang w:val="lv-LV" w:bidi="en-US"/>
        </w:rPr>
      </w:pPr>
      <w:r w:rsidRPr="00B20ED2">
        <w:rPr>
          <w:rFonts w:ascii="Arial" w:eastAsia="Calibri" w:hAnsi="Arial" w:cs="Arial"/>
          <w:sz w:val="18"/>
          <w:szCs w:val="20"/>
          <w:u w:val="single"/>
          <w:lang w:val="lv-LV"/>
        </w:rPr>
        <w:t>6. ailē</w:t>
      </w:r>
      <w:r w:rsidRPr="00B20ED2">
        <w:rPr>
          <w:rFonts w:ascii="Arial" w:eastAsia="Calibri" w:hAnsi="Arial" w:cs="Arial"/>
          <w:sz w:val="18"/>
          <w:szCs w:val="20"/>
          <w:lang w:val="lv-LV"/>
        </w:rPr>
        <w:t xml:space="preserve"> norāda priekšlikumus, vēlmes vai ierobežojumus.</w:t>
      </w:r>
    </w:p>
    <w:p w14:paraId="67559690" w14:textId="77777777" w:rsidR="0098236C" w:rsidRPr="00442423" w:rsidRDefault="0098236C" w:rsidP="00B20ED2">
      <w:pPr>
        <w:ind w:firstLine="284"/>
        <w:rPr>
          <w:rFonts w:ascii="Arial" w:hAnsi="Arial" w:cs="Arial"/>
          <w:lang w:val="lv-LV"/>
        </w:rPr>
      </w:pPr>
      <w:bookmarkStart w:id="0" w:name="_GoBack"/>
      <w:bookmarkEnd w:id="0"/>
    </w:p>
    <w:sectPr w:rsidR="0098236C" w:rsidRPr="00442423" w:rsidSect="001B03D3">
      <w:footerReference w:type="default" r:id="rId7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215C1" w14:textId="77777777" w:rsidR="00AD62CA" w:rsidRDefault="00AD62CA" w:rsidP="008719EB">
      <w:r>
        <w:separator/>
      </w:r>
    </w:p>
  </w:endnote>
  <w:endnote w:type="continuationSeparator" w:id="0">
    <w:p w14:paraId="150D7293" w14:textId="77777777" w:rsidR="00AD62CA" w:rsidRDefault="00AD62CA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53F6" w14:textId="7FFDBCD4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3E18AD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3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5351" w14:textId="77777777" w:rsidR="00AD62CA" w:rsidRDefault="00AD62CA" w:rsidP="008719EB">
      <w:r>
        <w:separator/>
      </w:r>
    </w:p>
  </w:footnote>
  <w:footnote w:type="continuationSeparator" w:id="0">
    <w:p w14:paraId="0FA7E7B5" w14:textId="77777777" w:rsidR="00AD62CA" w:rsidRDefault="00AD62CA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6209E"/>
    <w:rsid w:val="000D0513"/>
    <w:rsid w:val="00153DF3"/>
    <w:rsid w:val="001B03D3"/>
    <w:rsid w:val="00216815"/>
    <w:rsid w:val="003204EA"/>
    <w:rsid w:val="003E18AD"/>
    <w:rsid w:val="00442423"/>
    <w:rsid w:val="004B167C"/>
    <w:rsid w:val="00540AA3"/>
    <w:rsid w:val="005F697A"/>
    <w:rsid w:val="006B4694"/>
    <w:rsid w:val="00725224"/>
    <w:rsid w:val="0087021A"/>
    <w:rsid w:val="008719EB"/>
    <w:rsid w:val="009747B7"/>
    <w:rsid w:val="0098236C"/>
    <w:rsid w:val="00AD62CA"/>
    <w:rsid w:val="00B20ED2"/>
    <w:rsid w:val="00B50E9E"/>
    <w:rsid w:val="00C139DF"/>
    <w:rsid w:val="00C20434"/>
    <w:rsid w:val="00C8303D"/>
    <w:rsid w:val="00E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9EB"/>
    <w:pPr>
      <w:ind w:left="1440"/>
      <w:jc w:val="both"/>
    </w:pPr>
    <w:rPr>
      <w:lang w:val="lv-LV"/>
    </w:rPr>
  </w:style>
  <w:style w:type="character" w:customStyle="1" w:styleId="a4">
    <w:name w:val="Основной текст с отступом Знак"/>
    <w:basedOn w:val="a0"/>
    <w:link w:val="a3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19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a6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a7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a6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a7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5F69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">
    <w:name w:val="Hyperlink"/>
    <w:basedOn w:val="a0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11</cp:revision>
  <dcterms:created xsi:type="dcterms:W3CDTF">2020-01-12T19:52:00Z</dcterms:created>
  <dcterms:modified xsi:type="dcterms:W3CDTF">2021-11-01T11:07:00Z</dcterms:modified>
</cp:coreProperties>
</file>