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48" w:rsidRDefault="0053165C" w:rsidP="0053165C">
      <w:pPr>
        <w:jc w:val="center"/>
      </w:pPr>
      <w:r>
        <w:rPr>
          <w:noProof/>
          <w:lang w:eastAsia="lv-LV"/>
        </w:rPr>
        <w:drawing>
          <wp:inline distT="0" distB="0" distL="0" distR="0" wp14:anchorId="0B08A24F" wp14:editId="654755DD">
            <wp:extent cx="2257424" cy="480641"/>
            <wp:effectExtent l="0" t="0" r="0" b="0"/>
            <wp:docPr id="10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4"/>
                    <pic:cNvPicPr>
                      <a:picLocks noChangeAspect="1" noChangeArrowheads="1"/>
                    </pic:cNvPicPr>
                  </pic:nvPicPr>
                  <pic:blipFill>
                    <a:blip r:embed="rId6">
                      <a:extLst>
                        <a:ext uri="{28A0092B-C50C-407E-A947-70E740481C1C}">
                          <a14:useLocalDpi xmlns:a14="http://schemas.microsoft.com/office/drawing/2010/main" val="0"/>
                        </a:ext>
                      </a:extLst>
                    </a:blip>
                    <a:srcRect l="24225" t="29201" r="52097" b="61603"/>
                    <a:stretch>
                      <a:fillRect/>
                    </a:stretch>
                  </pic:blipFill>
                  <pic:spPr bwMode="auto">
                    <a:xfrm>
                      <a:off x="0" y="0"/>
                      <a:ext cx="2257424" cy="480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3165C" w:rsidRDefault="0053165C" w:rsidP="0053165C">
      <w:pPr>
        <w:jc w:val="center"/>
      </w:pPr>
    </w:p>
    <w:p w:rsidR="0053165C" w:rsidRDefault="00807B7B" w:rsidP="00C84036">
      <w:pPr>
        <w:jc w:val="center"/>
        <w:rPr>
          <w:b/>
          <w:sz w:val="28"/>
          <w:szCs w:val="28"/>
        </w:rPr>
      </w:pPr>
      <w:r>
        <w:rPr>
          <w:b/>
          <w:sz w:val="28"/>
          <w:szCs w:val="28"/>
        </w:rPr>
        <w:t>2016</w:t>
      </w:r>
      <w:r w:rsidR="00C84036">
        <w:rPr>
          <w:b/>
          <w:sz w:val="28"/>
          <w:szCs w:val="28"/>
        </w:rPr>
        <w:t xml:space="preserve">.gadā piegādātās elektroenerģijas </w:t>
      </w:r>
      <w:r w:rsidR="0099482A">
        <w:rPr>
          <w:b/>
          <w:sz w:val="28"/>
          <w:szCs w:val="28"/>
        </w:rPr>
        <w:t>izcelsme</w:t>
      </w:r>
    </w:p>
    <w:p w:rsidR="00807B7B" w:rsidRDefault="00807B7B" w:rsidP="00807B7B">
      <w:pPr>
        <w:rPr>
          <w:b/>
          <w:sz w:val="28"/>
          <w:szCs w:val="28"/>
        </w:rPr>
      </w:pPr>
    </w:p>
    <w:p w:rsidR="00807B7B" w:rsidRDefault="00807B7B" w:rsidP="00807B7B">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427"/>
      </w:tblGrid>
      <w:tr w:rsidR="00807B7B" w:rsidRPr="003F0652" w:rsidTr="00807B7B">
        <w:tc>
          <w:tcPr>
            <w:tcW w:w="7366" w:type="dxa"/>
          </w:tcPr>
          <w:p w:rsidR="00807B7B" w:rsidRPr="003F0652" w:rsidRDefault="00807B7B" w:rsidP="003F0652">
            <w:pPr>
              <w:rPr>
                <w:b/>
                <w:szCs w:val="24"/>
              </w:rPr>
            </w:pPr>
            <w:r w:rsidRPr="003F0652">
              <w:rPr>
                <w:b/>
                <w:szCs w:val="24"/>
              </w:rPr>
              <w:t xml:space="preserve">Kopējais galalietotājiem pagādātas </w:t>
            </w:r>
            <w:r w:rsidR="003F0652">
              <w:rPr>
                <w:b/>
                <w:szCs w:val="24"/>
              </w:rPr>
              <w:t xml:space="preserve">elektroenerģijas apjoms, kas </w:t>
            </w:r>
            <w:r w:rsidRPr="003F0652">
              <w:rPr>
                <w:b/>
                <w:szCs w:val="24"/>
              </w:rPr>
              <w:t xml:space="preserve">iepirkts no AS “Latvenergo”   </w:t>
            </w:r>
          </w:p>
        </w:tc>
        <w:tc>
          <w:tcPr>
            <w:tcW w:w="1456" w:type="dxa"/>
          </w:tcPr>
          <w:p w:rsidR="005E0E3E" w:rsidRDefault="003F0652" w:rsidP="003F0652">
            <w:pPr>
              <w:rPr>
                <w:b/>
                <w:szCs w:val="24"/>
              </w:rPr>
            </w:pPr>
            <w:r>
              <w:rPr>
                <w:b/>
                <w:szCs w:val="24"/>
              </w:rPr>
              <w:t xml:space="preserve">        </w:t>
            </w:r>
          </w:p>
          <w:p w:rsidR="00807B7B" w:rsidRPr="003F0652" w:rsidRDefault="005E0E3E" w:rsidP="003F0652">
            <w:pPr>
              <w:rPr>
                <w:b/>
                <w:szCs w:val="24"/>
              </w:rPr>
            </w:pPr>
            <w:r>
              <w:rPr>
                <w:b/>
                <w:szCs w:val="24"/>
              </w:rPr>
              <w:t xml:space="preserve">        </w:t>
            </w:r>
            <w:r w:rsidR="00807B7B" w:rsidRPr="003F0652">
              <w:rPr>
                <w:b/>
                <w:szCs w:val="24"/>
              </w:rPr>
              <w:t>100%</w:t>
            </w:r>
          </w:p>
        </w:tc>
      </w:tr>
    </w:tbl>
    <w:p w:rsidR="00807B7B" w:rsidRDefault="00807B7B" w:rsidP="00807B7B">
      <w:pPr>
        <w:rPr>
          <w:b/>
          <w:sz w:val="28"/>
          <w:szCs w:val="28"/>
        </w:rPr>
      </w:pPr>
    </w:p>
    <w:p w:rsidR="00807B7B" w:rsidRDefault="003F0652" w:rsidP="003F0652">
      <w:pPr>
        <w:ind w:left="142" w:hanging="142"/>
        <w:rPr>
          <w:b/>
          <w:szCs w:val="24"/>
        </w:rPr>
      </w:pPr>
      <w:r>
        <w:rPr>
          <w:b/>
          <w:szCs w:val="24"/>
        </w:rPr>
        <w:t xml:space="preserve"> </w:t>
      </w:r>
      <w:r w:rsidRPr="003F0652">
        <w:rPr>
          <w:b/>
          <w:szCs w:val="24"/>
        </w:rPr>
        <w:t>Kopējais  galalietotājiem piegādātās elektroenerģijas apjoms, kas saražots no</w:t>
      </w:r>
      <w:r>
        <w:rPr>
          <w:b/>
          <w:szCs w:val="24"/>
        </w:rPr>
        <w:t>:</w:t>
      </w:r>
    </w:p>
    <w:p w:rsidR="003F0652" w:rsidRDefault="003F0652" w:rsidP="00807B7B">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1287"/>
      </w:tblGrid>
      <w:tr w:rsidR="003F0652" w:rsidRPr="003F0652" w:rsidTr="003F0652">
        <w:tc>
          <w:tcPr>
            <w:tcW w:w="7508" w:type="dxa"/>
            <w:vAlign w:val="center"/>
          </w:tcPr>
          <w:p w:rsidR="003F0652" w:rsidRPr="003F0652" w:rsidRDefault="005E0E3E" w:rsidP="003F0652">
            <w:pPr>
              <w:spacing w:line="270" w:lineRule="atLeast"/>
              <w:jc w:val="left"/>
              <w:rPr>
                <w:rFonts w:ascii="inherit" w:eastAsia="Times New Roman" w:hAnsi="inherit" w:cs="Tahoma"/>
                <w:b/>
                <w:i/>
                <w:color w:val="5B5B5B"/>
                <w:szCs w:val="24"/>
                <w:lang w:eastAsia="lv-LV"/>
              </w:rPr>
            </w:pPr>
            <w:r>
              <w:rPr>
                <w:rFonts w:ascii="inherit" w:eastAsia="Times New Roman" w:hAnsi="inherit" w:cs="Tahoma"/>
                <w:b/>
                <w:i/>
                <w:color w:val="5B5B5B"/>
                <w:szCs w:val="24"/>
                <w:lang w:eastAsia="lv-LV"/>
              </w:rPr>
              <w:t>- atjaunojam</w:t>
            </w:r>
            <w:r w:rsidR="003F0652" w:rsidRPr="005E0E3E">
              <w:rPr>
                <w:rFonts w:ascii="inherit" w:eastAsia="Times New Roman" w:hAnsi="inherit" w:cs="Tahoma"/>
                <w:b/>
                <w:i/>
                <w:color w:val="5B5B5B"/>
                <w:szCs w:val="24"/>
                <w:lang w:eastAsia="lv-LV"/>
              </w:rPr>
              <w:t>iem energoresursiem (hidroenerģ</w:t>
            </w:r>
            <w:r w:rsidR="003F0652" w:rsidRPr="003F0652">
              <w:rPr>
                <w:rFonts w:ascii="inherit" w:eastAsia="Times New Roman" w:hAnsi="inherit" w:cs="Tahoma"/>
                <w:b/>
                <w:i/>
                <w:color w:val="5B5B5B"/>
                <w:szCs w:val="24"/>
                <w:lang w:eastAsia="lv-LV"/>
              </w:rPr>
              <w:t xml:space="preserve">ija, vēja enerģija, </w:t>
            </w:r>
            <w:r w:rsidR="00AC5B92">
              <w:rPr>
                <w:rFonts w:ascii="inherit" w:eastAsia="Times New Roman" w:hAnsi="inherit" w:cs="Tahoma"/>
                <w:b/>
                <w:i/>
                <w:color w:val="5B5B5B"/>
                <w:szCs w:val="24"/>
                <w:lang w:eastAsia="lv-LV"/>
              </w:rPr>
              <w:t xml:space="preserve">   </w:t>
            </w:r>
            <w:bookmarkStart w:id="0" w:name="_GoBack"/>
            <w:bookmarkEnd w:id="0"/>
            <w:r w:rsidR="003F0652" w:rsidRPr="003F0652">
              <w:rPr>
                <w:rFonts w:ascii="inherit" w:eastAsia="Times New Roman" w:hAnsi="inherit" w:cs="Tahoma"/>
                <w:b/>
                <w:i/>
                <w:color w:val="5B5B5B"/>
                <w:szCs w:val="24"/>
                <w:lang w:eastAsia="lv-LV"/>
              </w:rPr>
              <w:t>biogāze, biomasa, saules enerģija)</w:t>
            </w:r>
          </w:p>
        </w:tc>
        <w:tc>
          <w:tcPr>
            <w:tcW w:w="1314" w:type="dxa"/>
          </w:tcPr>
          <w:p w:rsidR="003F0652" w:rsidRPr="003F0652" w:rsidRDefault="003F0652" w:rsidP="003F0652">
            <w:pPr>
              <w:rPr>
                <w:b/>
                <w:szCs w:val="24"/>
              </w:rPr>
            </w:pPr>
            <w:r>
              <w:rPr>
                <w:b/>
                <w:szCs w:val="24"/>
              </w:rPr>
              <w:t xml:space="preserve">      </w:t>
            </w:r>
            <w:r w:rsidRPr="003F0652">
              <w:rPr>
                <w:b/>
                <w:szCs w:val="24"/>
              </w:rPr>
              <w:t>59%</w:t>
            </w:r>
          </w:p>
        </w:tc>
      </w:tr>
      <w:tr w:rsidR="003F0652" w:rsidRPr="003F0652" w:rsidTr="003F0652">
        <w:tc>
          <w:tcPr>
            <w:tcW w:w="7508" w:type="dxa"/>
            <w:vAlign w:val="center"/>
          </w:tcPr>
          <w:p w:rsidR="003F0652" w:rsidRPr="005E0E3E" w:rsidRDefault="003F0652" w:rsidP="003F0652">
            <w:pPr>
              <w:spacing w:line="270" w:lineRule="atLeast"/>
              <w:jc w:val="left"/>
              <w:rPr>
                <w:rFonts w:ascii="inherit" w:eastAsia="Times New Roman" w:hAnsi="inherit" w:cs="Tahoma"/>
                <w:b/>
                <w:i/>
                <w:color w:val="5B5B5B"/>
                <w:szCs w:val="24"/>
                <w:lang w:eastAsia="lv-LV"/>
              </w:rPr>
            </w:pPr>
            <w:r w:rsidRPr="003F0652">
              <w:rPr>
                <w:rFonts w:ascii="inherit" w:eastAsia="Times New Roman" w:hAnsi="inherit" w:cs="Tahoma"/>
                <w:b/>
                <w:i/>
                <w:color w:val="5B5B5B"/>
                <w:szCs w:val="24"/>
                <w:lang w:eastAsia="lv-LV"/>
              </w:rPr>
              <w:t>- gāzes</w:t>
            </w:r>
          </w:p>
        </w:tc>
        <w:tc>
          <w:tcPr>
            <w:tcW w:w="1314" w:type="dxa"/>
          </w:tcPr>
          <w:p w:rsidR="003F0652" w:rsidRPr="003F0652" w:rsidRDefault="003F0652" w:rsidP="003F0652">
            <w:pPr>
              <w:rPr>
                <w:b/>
                <w:szCs w:val="24"/>
              </w:rPr>
            </w:pPr>
            <w:r>
              <w:rPr>
                <w:b/>
                <w:szCs w:val="24"/>
              </w:rPr>
              <w:t xml:space="preserve">      </w:t>
            </w:r>
            <w:r w:rsidRPr="003F0652">
              <w:rPr>
                <w:b/>
                <w:szCs w:val="24"/>
              </w:rPr>
              <w:t>30%</w:t>
            </w:r>
          </w:p>
        </w:tc>
      </w:tr>
      <w:tr w:rsidR="003F0652" w:rsidRPr="003F0652" w:rsidTr="003F0652">
        <w:tc>
          <w:tcPr>
            <w:tcW w:w="7508" w:type="dxa"/>
            <w:vAlign w:val="center"/>
          </w:tcPr>
          <w:p w:rsidR="003F0652" w:rsidRPr="005E0E3E" w:rsidRDefault="003F0652" w:rsidP="003F0652">
            <w:pPr>
              <w:spacing w:line="270" w:lineRule="atLeast"/>
              <w:jc w:val="left"/>
              <w:rPr>
                <w:rFonts w:ascii="inherit" w:eastAsia="Times New Roman" w:hAnsi="inherit" w:cs="Tahoma"/>
                <w:b/>
                <w:i/>
                <w:color w:val="5B5B5B"/>
                <w:szCs w:val="24"/>
                <w:lang w:eastAsia="lv-LV"/>
              </w:rPr>
            </w:pPr>
            <w:r w:rsidRPr="005E0E3E">
              <w:rPr>
                <w:rFonts w:ascii="inherit" w:eastAsia="Times New Roman" w:hAnsi="inherit" w:cs="Tahoma"/>
                <w:b/>
                <w:i/>
                <w:color w:val="5B5B5B"/>
                <w:szCs w:val="24"/>
                <w:lang w:eastAsia="lv-LV"/>
              </w:rPr>
              <w:t xml:space="preserve">- </w:t>
            </w:r>
            <w:r w:rsidRPr="005E0E3E">
              <w:rPr>
                <w:rFonts w:ascii="inherit" w:eastAsia="Times New Roman" w:hAnsi="inherit" w:cs="Tahoma"/>
                <w:b/>
                <w:i/>
                <w:color w:val="5B5B5B"/>
                <w:szCs w:val="24"/>
                <w:lang w:eastAsia="lv-LV"/>
              </w:rPr>
              <w:t>atomenerģijas</w:t>
            </w:r>
          </w:p>
        </w:tc>
        <w:tc>
          <w:tcPr>
            <w:tcW w:w="1314" w:type="dxa"/>
          </w:tcPr>
          <w:p w:rsidR="003F0652" w:rsidRPr="003F0652" w:rsidRDefault="003F0652" w:rsidP="003F0652">
            <w:pPr>
              <w:rPr>
                <w:b/>
                <w:szCs w:val="24"/>
              </w:rPr>
            </w:pPr>
            <w:r>
              <w:rPr>
                <w:b/>
                <w:szCs w:val="24"/>
              </w:rPr>
              <w:t xml:space="preserve">       </w:t>
            </w:r>
            <w:r w:rsidRPr="003F0652">
              <w:rPr>
                <w:b/>
                <w:szCs w:val="24"/>
              </w:rPr>
              <w:t>8%</w:t>
            </w:r>
          </w:p>
        </w:tc>
      </w:tr>
      <w:tr w:rsidR="003F0652" w:rsidRPr="003F0652" w:rsidTr="003F0652">
        <w:tc>
          <w:tcPr>
            <w:tcW w:w="7508" w:type="dxa"/>
            <w:vAlign w:val="center"/>
          </w:tcPr>
          <w:p w:rsidR="003F0652" w:rsidRPr="005E0E3E" w:rsidRDefault="003F0652" w:rsidP="003F0652">
            <w:pPr>
              <w:spacing w:line="270" w:lineRule="atLeast"/>
              <w:jc w:val="left"/>
              <w:rPr>
                <w:rFonts w:ascii="inherit" w:eastAsia="Times New Roman" w:hAnsi="inherit" w:cs="Tahoma"/>
                <w:b/>
                <w:i/>
                <w:color w:val="5B5B5B"/>
                <w:szCs w:val="24"/>
                <w:lang w:eastAsia="lv-LV"/>
              </w:rPr>
            </w:pPr>
            <w:r w:rsidRPr="003F0652">
              <w:rPr>
                <w:rFonts w:ascii="inherit" w:eastAsia="Times New Roman" w:hAnsi="inherit" w:cs="Tahoma"/>
                <w:b/>
                <w:i/>
                <w:color w:val="5B5B5B"/>
                <w:szCs w:val="24"/>
                <w:lang w:eastAsia="lv-LV"/>
              </w:rPr>
              <w:t>- oglēm</w:t>
            </w:r>
          </w:p>
        </w:tc>
        <w:tc>
          <w:tcPr>
            <w:tcW w:w="1314" w:type="dxa"/>
          </w:tcPr>
          <w:p w:rsidR="003F0652" w:rsidRPr="003F0652" w:rsidRDefault="003F0652" w:rsidP="003F0652">
            <w:pPr>
              <w:rPr>
                <w:b/>
                <w:szCs w:val="24"/>
              </w:rPr>
            </w:pPr>
            <w:r>
              <w:rPr>
                <w:b/>
                <w:szCs w:val="24"/>
              </w:rPr>
              <w:t xml:space="preserve">       </w:t>
            </w:r>
            <w:r w:rsidRPr="003F0652">
              <w:rPr>
                <w:b/>
                <w:szCs w:val="24"/>
              </w:rPr>
              <w:t>1%</w:t>
            </w:r>
          </w:p>
        </w:tc>
      </w:tr>
      <w:tr w:rsidR="003F0652" w:rsidRPr="003F0652" w:rsidTr="003F0652">
        <w:tc>
          <w:tcPr>
            <w:tcW w:w="7508" w:type="dxa"/>
            <w:vAlign w:val="center"/>
          </w:tcPr>
          <w:p w:rsidR="003F0652" w:rsidRPr="005E0E3E" w:rsidRDefault="003F0652" w:rsidP="003F0652">
            <w:pPr>
              <w:spacing w:line="270" w:lineRule="atLeast"/>
              <w:jc w:val="left"/>
              <w:rPr>
                <w:rFonts w:ascii="inherit" w:eastAsia="Times New Roman" w:hAnsi="inherit" w:cs="Tahoma"/>
                <w:b/>
                <w:i/>
                <w:color w:val="5B5B5B"/>
                <w:szCs w:val="24"/>
                <w:lang w:eastAsia="lv-LV"/>
              </w:rPr>
            </w:pPr>
            <w:r w:rsidRPr="003F0652">
              <w:rPr>
                <w:rFonts w:ascii="inherit" w:eastAsia="Times New Roman" w:hAnsi="inherit" w:cs="Tahoma"/>
                <w:b/>
                <w:i/>
                <w:color w:val="5B5B5B"/>
                <w:szCs w:val="24"/>
                <w:lang w:eastAsia="lv-LV"/>
              </w:rPr>
              <w:t xml:space="preserve">- </w:t>
            </w:r>
            <w:r w:rsidRPr="005E0E3E">
              <w:rPr>
                <w:rFonts w:ascii="inherit" w:eastAsia="Times New Roman" w:hAnsi="inherit" w:cs="Tahoma"/>
                <w:b/>
                <w:i/>
                <w:color w:val="5B5B5B"/>
                <w:szCs w:val="24"/>
                <w:lang w:eastAsia="lv-LV"/>
              </w:rPr>
              <w:t>dažādiem</w:t>
            </w:r>
            <w:r w:rsidRPr="003F0652">
              <w:rPr>
                <w:rFonts w:ascii="inherit" w:eastAsia="Times New Roman" w:hAnsi="inherit" w:cs="Tahoma"/>
                <w:b/>
                <w:i/>
                <w:color w:val="5B5B5B"/>
                <w:szCs w:val="24"/>
                <w:lang w:eastAsia="lv-LV"/>
              </w:rPr>
              <w:t xml:space="preserve"> jauktiem kurināmiem vai cita veida fosilajiem kurināmiem</w:t>
            </w:r>
          </w:p>
        </w:tc>
        <w:tc>
          <w:tcPr>
            <w:tcW w:w="1314" w:type="dxa"/>
          </w:tcPr>
          <w:p w:rsidR="003F0652" w:rsidRPr="003F0652" w:rsidRDefault="003F0652" w:rsidP="003F0652">
            <w:pPr>
              <w:rPr>
                <w:b/>
                <w:szCs w:val="24"/>
              </w:rPr>
            </w:pPr>
            <w:r>
              <w:rPr>
                <w:b/>
                <w:szCs w:val="24"/>
              </w:rPr>
              <w:t xml:space="preserve">       </w:t>
            </w:r>
            <w:r w:rsidRPr="003F0652">
              <w:rPr>
                <w:b/>
                <w:szCs w:val="24"/>
              </w:rPr>
              <w:t>2%</w:t>
            </w:r>
          </w:p>
        </w:tc>
      </w:tr>
    </w:tbl>
    <w:p w:rsidR="0053165C" w:rsidRDefault="0053165C" w:rsidP="003F0652"/>
    <w:p w:rsidR="0053165C" w:rsidRPr="00807B7B" w:rsidRDefault="0053165C" w:rsidP="0053165C">
      <w:pPr>
        <w:pStyle w:val="Default"/>
        <w:rPr>
          <w:lang w:val="lv-LV"/>
        </w:rPr>
      </w:pPr>
    </w:p>
    <w:p w:rsidR="0099482A" w:rsidRDefault="0053165C" w:rsidP="0099482A">
      <w:pPr>
        <w:pStyle w:val="Default"/>
        <w:jc w:val="both"/>
        <w:rPr>
          <w:sz w:val="28"/>
          <w:szCs w:val="28"/>
          <w:lang w:val="lv-LV"/>
        </w:rPr>
      </w:pPr>
      <w:r w:rsidRPr="0099482A">
        <w:rPr>
          <w:sz w:val="28"/>
          <w:szCs w:val="28"/>
          <w:lang w:val="lv-LV"/>
        </w:rPr>
        <w:t xml:space="preserve">Izvērsta informācija par lietotājiem piegādātās elektroenerģijas ražošanas ietekmi uz vidi ir pieejama VAS „Latvijas dzelzceļš” elektroenerģijas piegādātāja AS "Latvenergo" mājas lapā </w:t>
      </w:r>
      <w:hyperlink r:id="rId7" w:history="1">
        <w:r w:rsidR="0099482A" w:rsidRPr="0099482A">
          <w:rPr>
            <w:rStyle w:val="Hyperlink"/>
            <w:sz w:val="28"/>
            <w:szCs w:val="28"/>
            <w:lang w:val="lv-LV"/>
          </w:rPr>
          <w:t>www.latvenergo.lv</w:t>
        </w:r>
      </w:hyperlink>
      <w:r w:rsidR="0099482A" w:rsidRPr="0099482A">
        <w:rPr>
          <w:sz w:val="28"/>
          <w:szCs w:val="28"/>
          <w:lang w:val="lv-LV"/>
        </w:rPr>
        <w:t xml:space="preserve"> </w:t>
      </w:r>
      <w:r w:rsidR="003F0652">
        <w:rPr>
          <w:sz w:val="28"/>
          <w:szCs w:val="28"/>
          <w:lang w:val="lv-LV"/>
        </w:rPr>
        <w:t>(</w:t>
      </w:r>
      <w:hyperlink r:id="rId8" w:history="1">
        <w:r w:rsidR="003F0652" w:rsidRPr="00396E86">
          <w:rPr>
            <w:rStyle w:val="Hyperlink"/>
            <w:sz w:val="28"/>
            <w:szCs w:val="28"/>
            <w:lang w:val="lv-LV"/>
          </w:rPr>
          <w:t>http://www.latvenergo.lv/lat/par_mums/pardosana/elektroenergijas_tirgus_shema/elektroenergijas_izcelsme/</w:t>
        </w:r>
      </w:hyperlink>
      <w:r w:rsidR="003F0652">
        <w:rPr>
          <w:sz w:val="28"/>
          <w:szCs w:val="28"/>
          <w:lang w:val="lv-LV"/>
        </w:rPr>
        <w:t xml:space="preserve">) </w:t>
      </w:r>
    </w:p>
    <w:p w:rsidR="003F0652" w:rsidRPr="0099482A" w:rsidRDefault="003F0652" w:rsidP="0099482A">
      <w:pPr>
        <w:pStyle w:val="Default"/>
        <w:jc w:val="both"/>
        <w:rPr>
          <w:sz w:val="28"/>
          <w:szCs w:val="28"/>
          <w:lang w:val="lv-LV"/>
        </w:rPr>
      </w:pPr>
    </w:p>
    <w:p w:rsidR="0053165C" w:rsidRPr="0099482A" w:rsidRDefault="0053165C" w:rsidP="0099482A">
      <w:pPr>
        <w:pStyle w:val="Default"/>
        <w:jc w:val="both"/>
        <w:rPr>
          <w:sz w:val="28"/>
          <w:szCs w:val="28"/>
          <w:lang w:val="lv-LV"/>
        </w:rPr>
      </w:pPr>
      <w:r w:rsidRPr="0099482A">
        <w:rPr>
          <w:sz w:val="28"/>
          <w:szCs w:val="28"/>
          <w:lang w:val="lv-LV"/>
        </w:rPr>
        <w:t xml:space="preserve">Lietotāju ievērībai informējam, ka lietotāju iesniegumus un sūdzības pieņemam: </w:t>
      </w:r>
    </w:p>
    <w:p w:rsidR="0053165C" w:rsidRPr="0099482A" w:rsidRDefault="0053165C" w:rsidP="0099482A">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pa faksu 67234327 </w:t>
      </w:r>
    </w:p>
    <w:p w:rsidR="0053165C" w:rsidRPr="0099482A" w:rsidRDefault="0053165C" w:rsidP="0099482A">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e-pastā pr@ldz.lv vai info@ldz.lv </w:t>
      </w:r>
    </w:p>
    <w:p w:rsidR="0053165C" w:rsidRPr="0099482A" w:rsidRDefault="0053165C" w:rsidP="0099482A">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pa pastu VAS „Latvijas dzelzceļš”, Gogoļa iela 3, Rīga, LV-1547 </w:t>
      </w:r>
    </w:p>
    <w:p w:rsidR="0053165C" w:rsidRPr="0099482A" w:rsidRDefault="0053165C" w:rsidP="0099482A">
      <w:pPr>
        <w:pStyle w:val="Default"/>
        <w:jc w:val="both"/>
        <w:rPr>
          <w:sz w:val="28"/>
          <w:szCs w:val="28"/>
          <w:lang w:val="lv-LV"/>
        </w:rPr>
      </w:pPr>
      <w:r w:rsidRPr="0099482A">
        <w:rPr>
          <w:rFonts w:ascii="Courier New" w:hAnsi="Courier New" w:cs="Courier New"/>
          <w:sz w:val="28"/>
          <w:szCs w:val="28"/>
          <w:lang w:val="lv-LV"/>
        </w:rPr>
        <w:t xml:space="preserve">o </w:t>
      </w:r>
      <w:r w:rsidRPr="0099482A">
        <w:rPr>
          <w:sz w:val="28"/>
          <w:szCs w:val="28"/>
          <w:lang w:val="lv-LV"/>
        </w:rPr>
        <w:t xml:space="preserve">personīgi Signalizācijas un sakaru distances reģionālajos centros: </w:t>
      </w:r>
    </w:p>
    <w:p w:rsidR="0053165C" w:rsidRPr="0099482A" w:rsidRDefault="0053165C" w:rsidP="0099482A">
      <w:pPr>
        <w:pStyle w:val="Default"/>
        <w:jc w:val="both"/>
        <w:rPr>
          <w:sz w:val="28"/>
          <w:szCs w:val="28"/>
          <w:lang w:val="lv-LV"/>
        </w:rPr>
      </w:pPr>
      <w:r w:rsidRPr="0099482A">
        <w:rPr>
          <w:sz w:val="28"/>
          <w:szCs w:val="28"/>
          <w:lang w:val="lv-LV"/>
        </w:rPr>
        <w:t xml:space="preserve">- Rīgas reģionālais centrs – </w:t>
      </w:r>
      <w:r w:rsidR="003F0652">
        <w:rPr>
          <w:sz w:val="28"/>
          <w:szCs w:val="28"/>
          <w:lang w:val="lv-LV"/>
        </w:rPr>
        <w:t>Gogoļa iel</w:t>
      </w:r>
      <w:r w:rsidR="0036131C">
        <w:rPr>
          <w:sz w:val="28"/>
          <w:szCs w:val="28"/>
          <w:lang w:val="lv-LV"/>
        </w:rPr>
        <w:t>ā</w:t>
      </w:r>
      <w:r w:rsidRPr="0099482A">
        <w:rPr>
          <w:sz w:val="28"/>
          <w:szCs w:val="28"/>
          <w:lang w:val="lv-LV"/>
        </w:rPr>
        <w:t xml:space="preserve">, Rīgā; </w:t>
      </w:r>
    </w:p>
    <w:p w:rsidR="0053165C" w:rsidRPr="0099482A" w:rsidRDefault="0053165C" w:rsidP="0099482A">
      <w:pPr>
        <w:pStyle w:val="Default"/>
        <w:jc w:val="both"/>
        <w:rPr>
          <w:sz w:val="28"/>
          <w:szCs w:val="28"/>
          <w:lang w:val="lv-LV"/>
        </w:rPr>
      </w:pPr>
      <w:r w:rsidRPr="0099482A">
        <w:rPr>
          <w:sz w:val="28"/>
          <w:szCs w:val="28"/>
          <w:lang w:val="lv-LV"/>
        </w:rPr>
        <w:t xml:space="preserve">- Daugavpils reģionālais centrs – </w:t>
      </w:r>
      <w:proofErr w:type="spellStart"/>
      <w:r w:rsidRPr="0099482A">
        <w:rPr>
          <w:sz w:val="28"/>
          <w:szCs w:val="28"/>
          <w:lang w:val="lv-LV"/>
        </w:rPr>
        <w:t>Mihoelsa</w:t>
      </w:r>
      <w:proofErr w:type="spellEnd"/>
      <w:r w:rsidRPr="0099482A">
        <w:rPr>
          <w:sz w:val="28"/>
          <w:szCs w:val="28"/>
          <w:lang w:val="lv-LV"/>
        </w:rPr>
        <w:t xml:space="preserve"> ielā 48, Daugavpilī; </w:t>
      </w:r>
    </w:p>
    <w:p w:rsidR="0053165C" w:rsidRDefault="0053165C" w:rsidP="0099482A">
      <w:pPr>
        <w:pStyle w:val="Default"/>
        <w:jc w:val="both"/>
        <w:rPr>
          <w:sz w:val="28"/>
          <w:szCs w:val="28"/>
          <w:lang w:val="lv-LV"/>
        </w:rPr>
      </w:pPr>
      <w:r w:rsidRPr="0099482A">
        <w:rPr>
          <w:sz w:val="28"/>
          <w:szCs w:val="28"/>
          <w:lang w:val="lv-LV"/>
        </w:rPr>
        <w:t xml:space="preserve">- Jelgavas reģionālais centrs – </w:t>
      </w:r>
      <w:r w:rsidR="00E0115A">
        <w:rPr>
          <w:sz w:val="28"/>
          <w:szCs w:val="28"/>
          <w:lang w:val="lv-LV"/>
        </w:rPr>
        <w:t>Stacijas ielā 3c</w:t>
      </w:r>
      <w:r w:rsidRPr="0099482A">
        <w:rPr>
          <w:sz w:val="28"/>
          <w:szCs w:val="28"/>
          <w:lang w:val="lv-LV"/>
        </w:rPr>
        <w:t xml:space="preserve">, Jelgavā. </w:t>
      </w:r>
    </w:p>
    <w:p w:rsidR="0099482A" w:rsidRPr="0099482A" w:rsidRDefault="0099482A" w:rsidP="0099482A">
      <w:pPr>
        <w:pStyle w:val="Default"/>
        <w:jc w:val="both"/>
        <w:rPr>
          <w:sz w:val="28"/>
          <w:szCs w:val="28"/>
          <w:lang w:val="lv-LV"/>
        </w:rPr>
      </w:pPr>
    </w:p>
    <w:p w:rsidR="0053165C" w:rsidRPr="0099482A" w:rsidRDefault="0053165C" w:rsidP="0099482A">
      <w:pPr>
        <w:rPr>
          <w:sz w:val="28"/>
          <w:szCs w:val="28"/>
        </w:rPr>
      </w:pPr>
      <w:r w:rsidRPr="0099482A">
        <w:rPr>
          <w:sz w:val="28"/>
          <w:szCs w:val="28"/>
        </w:rPr>
        <w:t>Iesniegumi vai sūdzības tiks izskatītas 30 dienu laikā pēc to saņemšanas. Papildus informējam, ka domstarpības starp elektroenerģijas lietotāju un piegādātāju pēc prasītāja izvēles izskata Sabiedrisko pakalpojumu regulēšanas komisijas likuma "Par sabiedrisko pakalpojumu regulatoriem" noteiktajā kārtībā, vai Latvijas Republikas tiesā pēc piekritības.</w:t>
      </w:r>
    </w:p>
    <w:sectPr w:rsidR="0053165C" w:rsidRPr="0099482A" w:rsidSect="004D41F1">
      <w:pgSz w:w="11906" w:h="16838"/>
      <w:pgMar w:top="851"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1191"/>
    <w:multiLevelType w:val="hybridMultilevel"/>
    <w:tmpl w:val="6AAE11F2"/>
    <w:lvl w:ilvl="0" w:tplc="1138CE3C">
      <w:start w:val="3"/>
      <w:numFmt w:val="bullet"/>
      <w:lvlText w:val="-"/>
      <w:lvlJc w:val="left"/>
      <w:pPr>
        <w:ind w:left="720" w:hanging="360"/>
      </w:pPr>
      <w:rPr>
        <w:rFonts w:ascii="inherit" w:eastAsia="Times New Roman" w:hAnsi="inherit"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5C"/>
    <w:rsid w:val="0036131C"/>
    <w:rsid w:val="003F0652"/>
    <w:rsid w:val="004D41F1"/>
    <w:rsid w:val="0053165C"/>
    <w:rsid w:val="00563FF4"/>
    <w:rsid w:val="005E0E3E"/>
    <w:rsid w:val="00656DDF"/>
    <w:rsid w:val="00677448"/>
    <w:rsid w:val="00807B7B"/>
    <w:rsid w:val="008111CA"/>
    <w:rsid w:val="0099482A"/>
    <w:rsid w:val="00AC5B92"/>
    <w:rsid w:val="00C84036"/>
    <w:rsid w:val="00E01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6569-D7AC-4661-A1DA-27802D26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5C"/>
    <w:pPr>
      <w:autoSpaceDE w:val="0"/>
      <w:autoSpaceDN w:val="0"/>
      <w:adjustRightInd w:val="0"/>
      <w:jc w:val="left"/>
    </w:pPr>
    <w:rPr>
      <w:color w:val="000000"/>
      <w:szCs w:val="24"/>
      <w:lang w:val="ru-RU"/>
    </w:rPr>
  </w:style>
  <w:style w:type="character" w:styleId="Hyperlink">
    <w:name w:val="Hyperlink"/>
    <w:basedOn w:val="DefaultParagraphFont"/>
    <w:uiPriority w:val="99"/>
    <w:unhideWhenUsed/>
    <w:rsid w:val="0099482A"/>
    <w:rPr>
      <w:color w:val="0563C1" w:themeColor="hyperlink"/>
      <w:u w:val="single"/>
    </w:rPr>
  </w:style>
  <w:style w:type="table" w:styleId="TableGrid">
    <w:name w:val="Table Grid"/>
    <w:basedOn w:val="TableNormal"/>
    <w:uiPriority w:val="39"/>
    <w:rsid w:val="0080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652"/>
    <w:pPr>
      <w:ind w:left="720"/>
      <w:contextualSpacing/>
    </w:pPr>
  </w:style>
  <w:style w:type="paragraph" w:styleId="BalloonText">
    <w:name w:val="Balloon Text"/>
    <w:basedOn w:val="Normal"/>
    <w:link w:val="BalloonTextChar"/>
    <w:uiPriority w:val="99"/>
    <w:semiHidden/>
    <w:unhideWhenUsed/>
    <w:rsid w:val="00AC5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energo.lv/lat/par_mums/pardosana/elektroenergijas_tirgus_shema/elektroenergijas_izcelsme/" TargetMode="External"/><Relationship Id="rId3" Type="http://schemas.openxmlformats.org/officeDocument/2006/relationships/styles" Target="styles.xml"/><Relationship Id="rId7" Type="http://schemas.openxmlformats.org/officeDocument/2006/relationships/hyperlink" Target="http://www.latvenergo.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6B25-5425-4B8E-916E-D5D9E2D1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1136</Words>
  <Characters>649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Andrejevskis</dc:creator>
  <cp:keywords/>
  <dc:description/>
  <cp:lastModifiedBy>Ilona Dauča</cp:lastModifiedBy>
  <cp:revision>14</cp:revision>
  <cp:lastPrinted>2017-07-20T06:11:00Z</cp:lastPrinted>
  <dcterms:created xsi:type="dcterms:W3CDTF">2016-05-06T05:12:00Z</dcterms:created>
  <dcterms:modified xsi:type="dcterms:W3CDTF">2017-07-20T06:18:00Z</dcterms:modified>
</cp:coreProperties>
</file>