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9E9F" w14:textId="457C4CEF" w:rsidR="00832233" w:rsidRPr="00200F35" w:rsidRDefault="00455E5B" w:rsidP="008534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2"/>
          <w:lang w:eastAsia="lv-LV"/>
        </w:rPr>
      </w:pPr>
      <w:proofErr w:type="spellStart"/>
      <w:r w:rsidRPr="00200F35">
        <w:rPr>
          <w:rFonts w:ascii="Arial" w:eastAsia="Times New Roman" w:hAnsi="Arial" w:cs="Arial"/>
          <w:b/>
          <w:bCs/>
          <w:spacing w:val="-2"/>
          <w:lang w:eastAsia="lv-LV"/>
        </w:rPr>
        <w:t>Информация</w:t>
      </w:r>
      <w:proofErr w:type="spellEnd"/>
      <w:r w:rsidRPr="00200F35">
        <w:rPr>
          <w:rFonts w:ascii="Arial" w:eastAsia="Times New Roman" w:hAnsi="Arial" w:cs="Arial"/>
          <w:b/>
          <w:bCs/>
          <w:spacing w:val="-2"/>
          <w:lang w:eastAsia="lv-LV"/>
        </w:rPr>
        <w:t xml:space="preserve"> о </w:t>
      </w:r>
      <w:proofErr w:type="spellStart"/>
      <w:r w:rsidRPr="00200F35">
        <w:rPr>
          <w:rFonts w:ascii="Arial" w:eastAsia="Times New Roman" w:hAnsi="Arial" w:cs="Arial"/>
          <w:b/>
          <w:bCs/>
          <w:spacing w:val="-2"/>
          <w:lang w:eastAsia="lv-LV"/>
        </w:rPr>
        <w:t>последней</w:t>
      </w:r>
      <w:proofErr w:type="spellEnd"/>
      <w:r w:rsidRPr="00200F35">
        <w:rPr>
          <w:rFonts w:ascii="Arial" w:eastAsia="Times New Roman" w:hAnsi="Arial" w:cs="Arial"/>
          <w:b/>
          <w:bCs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b/>
          <w:bCs/>
          <w:spacing w:val="-2"/>
          <w:lang w:eastAsia="lv-LV"/>
        </w:rPr>
        <w:t>гарантированной</w:t>
      </w:r>
      <w:proofErr w:type="spellEnd"/>
      <w:r w:rsidRPr="00200F35">
        <w:rPr>
          <w:rFonts w:ascii="Arial" w:eastAsia="Times New Roman" w:hAnsi="Arial" w:cs="Arial"/>
          <w:b/>
          <w:bCs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b/>
          <w:bCs/>
          <w:spacing w:val="-2"/>
          <w:lang w:eastAsia="lv-LV"/>
        </w:rPr>
        <w:t>доставке</w:t>
      </w:r>
      <w:proofErr w:type="spellEnd"/>
    </w:p>
    <w:p w14:paraId="4CA0416B" w14:textId="77777777" w:rsidR="00455E5B" w:rsidRPr="00200F35" w:rsidRDefault="00455E5B" w:rsidP="0045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lang w:eastAsia="lv-LV"/>
        </w:rPr>
      </w:pPr>
    </w:p>
    <w:p w14:paraId="53AD293E" w14:textId="77777777" w:rsidR="00A63BEE" w:rsidRPr="00200F35" w:rsidRDefault="00A63BEE" w:rsidP="00455E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6672"/>
          <w:spacing w:val="-2"/>
          <w:lang w:eastAsia="lv-LV"/>
        </w:rPr>
      </w:pPr>
    </w:p>
    <w:p w14:paraId="3514211E" w14:textId="376C9601" w:rsidR="00A63BEE" w:rsidRPr="00200F35" w:rsidRDefault="005E5585" w:rsidP="00455E5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2"/>
          <w:lang w:eastAsia="lv-LV"/>
        </w:rPr>
      </w:pPr>
      <w:r w:rsidRPr="00200F35">
        <w:rPr>
          <w:rFonts w:ascii="Arial" w:eastAsia="Times New Roman" w:hAnsi="Arial" w:cs="Arial"/>
          <w:spacing w:val="-2"/>
          <w:lang w:val="ru-RU" w:eastAsia="lv-LV"/>
        </w:rPr>
        <w:t>С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облюд</w:t>
      </w:r>
      <w:r w:rsidRPr="00200F35">
        <w:rPr>
          <w:rFonts w:ascii="Arial" w:eastAsia="Times New Roman" w:hAnsi="Arial" w:cs="Arial"/>
          <w:spacing w:val="-2"/>
          <w:lang w:val="ru-RU" w:eastAsia="lv-LV"/>
        </w:rPr>
        <w:t>ая</w:t>
      </w:r>
      <w:proofErr w:type="spellEnd"/>
      <w:r w:rsidRPr="00200F35">
        <w:rPr>
          <w:rFonts w:ascii="Arial" w:eastAsia="Times New Roman" w:hAnsi="Arial" w:cs="Arial"/>
          <w:spacing w:val="-2"/>
          <w:lang w:val="ru-RU" w:eastAsia="lv-LV"/>
        </w:rPr>
        <w:t xml:space="preserve"> требования</w:t>
      </w:r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правил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Кабинета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министров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от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21.01.2014</w:t>
      </w:r>
      <w:r w:rsidR="00B525A6" w:rsidRPr="00200F35">
        <w:rPr>
          <w:rFonts w:ascii="Arial" w:eastAsia="Times New Roman" w:hAnsi="Arial" w:cs="Arial"/>
          <w:spacing w:val="-2"/>
          <w:lang w:val="ru-RU" w:eastAsia="lv-LV"/>
        </w:rPr>
        <w:t>.</w:t>
      </w:r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№ 50 «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Правила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торговли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и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пользования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электроэнергией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»,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если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r w:rsidRPr="00200F35">
        <w:rPr>
          <w:rFonts w:ascii="Arial" w:eastAsia="Times New Roman" w:hAnsi="Arial" w:cs="Arial"/>
          <w:spacing w:val="-2"/>
          <w:lang w:val="ru-RU" w:eastAsia="lv-LV"/>
        </w:rPr>
        <w:t xml:space="preserve">у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пользовател</w:t>
      </w:r>
      <w:proofErr w:type="spellEnd"/>
      <w:r w:rsidRPr="00200F35">
        <w:rPr>
          <w:rFonts w:ascii="Arial" w:eastAsia="Times New Roman" w:hAnsi="Arial" w:cs="Arial"/>
          <w:spacing w:val="-2"/>
          <w:lang w:val="ru-RU" w:eastAsia="lv-LV"/>
        </w:rPr>
        <w:t>я</w:t>
      </w:r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r w:rsidRPr="00200F35">
        <w:rPr>
          <w:rFonts w:ascii="Arial" w:eastAsia="Times New Roman" w:hAnsi="Arial" w:cs="Arial"/>
          <w:spacing w:val="-2"/>
          <w:lang w:val="ru-RU" w:eastAsia="lv-LV"/>
        </w:rPr>
        <w:t>для</w:t>
      </w:r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како</w:t>
      </w:r>
      <w:proofErr w:type="spellEnd"/>
      <w:r w:rsidRPr="00200F35">
        <w:rPr>
          <w:rFonts w:ascii="Arial" w:eastAsia="Times New Roman" w:hAnsi="Arial" w:cs="Arial"/>
          <w:spacing w:val="-2"/>
          <w:lang w:val="ru-RU" w:eastAsia="lv-LV"/>
        </w:rPr>
        <w:t>го</w:t>
      </w:r>
      <w:r w:rsidR="00A63BEE" w:rsidRPr="00200F35">
        <w:rPr>
          <w:rFonts w:ascii="Arial" w:eastAsia="Times New Roman" w:hAnsi="Arial" w:cs="Arial"/>
          <w:spacing w:val="-2"/>
          <w:lang w:eastAsia="lv-LV"/>
        </w:rPr>
        <w:t>-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либо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потребляющ</w:t>
      </w:r>
      <w:proofErr w:type="spellEnd"/>
      <w:r w:rsidRPr="00200F35">
        <w:rPr>
          <w:rFonts w:ascii="Arial" w:eastAsia="Times New Roman" w:hAnsi="Arial" w:cs="Arial"/>
          <w:spacing w:val="-2"/>
          <w:lang w:val="ru-RU" w:eastAsia="lv-LV"/>
        </w:rPr>
        <w:t>его</w:t>
      </w:r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электроэнергию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объект</w:t>
      </w:r>
      <w:proofErr w:type="spellEnd"/>
      <w:r w:rsidRPr="00200F35">
        <w:rPr>
          <w:rFonts w:ascii="Arial" w:eastAsia="Times New Roman" w:hAnsi="Arial" w:cs="Arial"/>
          <w:spacing w:val="-2"/>
          <w:lang w:val="ru-RU" w:eastAsia="lv-LV"/>
        </w:rPr>
        <w:t>а</w:t>
      </w:r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нет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действующего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договора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о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торговле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электроэнергией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поставка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электроэнергии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соответствующим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объектам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пользователя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осуществляется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в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рамках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последней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гарантированной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A63BEE" w:rsidRPr="00200F35">
        <w:rPr>
          <w:rFonts w:ascii="Arial" w:eastAsia="Times New Roman" w:hAnsi="Arial" w:cs="Arial"/>
          <w:spacing w:val="-2"/>
          <w:lang w:eastAsia="lv-LV"/>
        </w:rPr>
        <w:t>поставки</w:t>
      </w:r>
      <w:proofErr w:type="spellEnd"/>
      <w:r w:rsidR="00A63BEE" w:rsidRPr="00200F35">
        <w:rPr>
          <w:rFonts w:ascii="Arial" w:eastAsia="Times New Roman" w:hAnsi="Arial" w:cs="Arial"/>
          <w:spacing w:val="-2"/>
          <w:lang w:eastAsia="lv-LV"/>
        </w:rPr>
        <w:t>.</w:t>
      </w:r>
    </w:p>
    <w:p w14:paraId="5BC37EBA" w14:textId="77777777" w:rsidR="00455E5B" w:rsidRPr="00200F35" w:rsidRDefault="00455E5B" w:rsidP="00455E5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2"/>
          <w:lang w:eastAsia="lv-LV"/>
        </w:rPr>
      </w:pPr>
    </w:p>
    <w:p w14:paraId="280DAF3C" w14:textId="75E181A7" w:rsidR="00A63BEE" w:rsidRPr="00200F35" w:rsidRDefault="00A63BEE" w:rsidP="00455E5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2"/>
          <w:lang w:val="ru-RU" w:eastAsia="lv-LV"/>
        </w:rPr>
      </w:pP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Цен</w:t>
      </w:r>
      <w:proofErr w:type="spellEnd"/>
      <w:r w:rsidR="005E5585" w:rsidRPr="00200F35">
        <w:rPr>
          <w:rFonts w:ascii="Arial" w:eastAsia="Times New Roman" w:hAnsi="Arial" w:cs="Arial"/>
          <w:spacing w:val="-2"/>
          <w:lang w:val="ru-RU" w:eastAsia="lv-LV"/>
        </w:rPr>
        <w:t>ой</w:t>
      </w:r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последней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гарантированной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поставки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электроэнергии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пользователям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электроустановки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которых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подключены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к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системе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распределения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явля</w:t>
      </w:r>
      <w:proofErr w:type="spellEnd"/>
      <w:r w:rsidR="005E5585" w:rsidRPr="00200F35">
        <w:rPr>
          <w:rFonts w:ascii="Arial" w:eastAsia="Times New Roman" w:hAnsi="Arial" w:cs="Arial"/>
          <w:spacing w:val="-2"/>
          <w:lang w:val="ru-RU" w:eastAsia="lv-LV"/>
        </w:rPr>
        <w:t>е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тся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месячн</w:t>
      </w:r>
      <w:r w:rsidR="005E5585" w:rsidRPr="00200F35">
        <w:rPr>
          <w:rFonts w:ascii="Arial" w:eastAsia="Times New Roman" w:hAnsi="Arial" w:cs="Arial"/>
          <w:spacing w:val="-2"/>
          <w:lang w:val="ru-RU" w:eastAsia="lv-LV"/>
        </w:rPr>
        <w:t>ая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цен</w:t>
      </w:r>
      <w:proofErr w:type="spellEnd"/>
      <w:r w:rsidR="005E5585" w:rsidRPr="00200F35">
        <w:rPr>
          <w:rFonts w:ascii="Arial" w:eastAsia="Times New Roman" w:hAnsi="Arial" w:cs="Arial"/>
          <w:spacing w:val="-2"/>
          <w:lang w:val="ru-RU" w:eastAsia="lv-LV"/>
        </w:rPr>
        <w:t>а</w:t>
      </w:r>
      <w:r w:rsidR="00EA65B0" w:rsidRPr="00200F35">
        <w:rPr>
          <w:rStyle w:val="ng-star-inserted"/>
          <w:rFonts w:ascii="Arial" w:hAnsi="Arial" w:cs="Arial"/>
          <w:color w:val="5A6672"/>
          <w:spacing w:val="-2"/>
          <w:shd w:val="clear" w:color="auto" w:fill="FFFFFF"/>
        </w:rPr>
        <w:t xml:space="preserve"> </w:t>
      </w:r>
      <w:proofErr w:type="spellStart"/>
      <w:r w:rsidR="00EA65B0" w:rsidRPr="00200F35">
        <w:rPr>
          <w:rStyle w:val="tld-sibling-0-3"/>
          <w:rFonts w:ascii="Arial" w:hAnsi="Arial" w:cs="Arial"/>
          <w:spacing w:val="-2"/>
          <w:shd w:val="clear" w:color="auto" w:fill="FFFFFF"/>
        </w:rPr>
        <w:t>на</w:t>
      </w:r>
      <w:proofErr w:type="spellEnd"/>
      <w:r w:rsidR="00EA65B0" w:rsidRPr="00200F35">
        <w:rPr>
          <w:rStyle w:val="ng-star-inserted"/>
          <w:rFonts w:ascii="Arial" w:hAnsi="Arial" w:cs="Arial"/>
          <w:spacing w:val="-2"/>
          <w:shd w:val="clear" w:color="auto" w:fill="FFFFFF"/>
        </w:rPr>
        <w:t xml:space="preserve"> </w:t>
      </w:r>
      <w:proofErr w:type="spellStart"/>
      <w:r w:rsidR="00EA65B0" w:rsidRPr="00200F35">
        <w:rPr>
          <w:rStyle w:val="tld-sibling-0-2"/>
          <w:rFonts w:ascii="Arial" w:hAnsi="Arial" w:cs="Arial"/>
          <w:spacing w:val="-2"/>
          <w:shd w:val="clear" w:color="auto" w:fill="FFFFFF"/>
        </w:rPr>
        <w:t>следующий</w:t>
      </w:r>
      <w:proofErr w:type="spellEnd"/>
      <w:r w:rsidR="00EA65B0" w:rsidRPr="00200F35">
        <w:rPr>
          <w:rStyle w:val="ng-star-inserted"/>
          <w:rFonts w:ascii="Arial" w:hAnsi="Arial" w:cs="Arial"/>
          <w:spacing w:val="-2"/>
          <w:shd w:val="clear" w:color="auto" w:fill="FFFFFF"/>
        </w:rPr>
        <w:t xml:space="preserve"> </w:t>
      </w:r>
      <w:proofErr w:type="spellStart"/>
      <w:r w:rsidR="00EA65B0" w:rsidRPr="00200F35">
        <w:rPr>
          <w:rStyle w:val="tld-word-0-4"/>
          <w:rFonts w:ascii="Arial" w:hAnsi="Arial" w:cs="Arial"/>
          <w:spacing w:val="-2"/>
          <w:shd w:val="clear" w:color="auto" w:fill="FFFFFF"/>
        </w:rPr>
        <w:t>день</w:t>
      </w:r>
      <w:proofErr w:type="spellEnd"/>
      <w:r w:rsidR="00EA65B0" w:rsidRPr="00200F35">
        <w:rPr>
          <w:rStyle w:val="ng-star-inserted"/>
          <w:rFonts w:ascii="Arial" w:hAnsi="Arial" w:cs="Arial"/>
          <w:spacing w:val="-2"/>
          <w:shd w:val="clear" w:color="auto" w:fill="FFFFFF"/>
        </w:rPr>
        <w:t xml:space="preserve"> </w:t>
      </w:r>
      <w:r w:rsidR="00EA65B0" w:rsidRPr="00200F35">
        <w:rPr>
          <w:rStyle w:val="tld-word-0-5"/>
          <w:rFonts w:ascii="Arial" w:hAnsi="Arial" w:cs="Arial"/>
          <w:spacing w:val="-2"/>
          <w:shd w:val="clear" w:color="auto" w:fill="FFFFFF"/>
        </w:rPr>
        <w:t>(</w:t>
      </w:r>
      <w:proofErr w:type="spellStart"/>
      <w:r w:rsidR="00EA65B0" w:rsidRPr="00200F35">
        <w:rPr>
          <w:rStyle w:val="tld-word-0-7"/>
          <w:rFonts w:ascii="Arial" w:hAnsi="Arial" w:cs="Arial"/>
          <w:spacing w:val="-2"/>
          <w:shd w:val="clear" w:color="auto" w:fill="FFFFFF"/>
        </w:rPr>
        <w:t>Elspot</w:t>
      </w:r>
      <w:proofErr w:type="spellEnd"/>
      <w:r w:rsidR="00EA65B0" w:rsidRPr="00200F35">
        <w:rPr>
          <w:rStyle w:val="tld-word-0-8"/>
          <w:rFonts w:ascii="Arial" w:hAnsi="Arial" w:cs="Arial"/>
          <w:spacing w:val="-2"/>
          <w:shd w:val="clear" w:color="auto" w:fill="FFFFFF"/>
        </w:rPr>
        <w:t>)</w:t>
      </w:r>
      <w:r w:rsidR="00EA65B0" w:rsidRPr="00200F35">
        <w:rPr>
          <w:rStyle w:val="ng-star-inserted"/>
          <w:rFonts w:ascii="Arial" w:hAnsi="Arial" w:cs="Arial"/>
          <w:spacing w:val="-2"/>
          <w:shd w:val="clear" w:color="auto" w:fill="FFFFFF"/>
        </w:rPr>
        <w:t xml:space="preserve"> </w:t>
      </w:r>
      <w:r w:rsidR="00EA65B0" w:rsidRPr="00200F35">
        <w:rPr>
          <w:rStyle w:val="ng-star-inserted"/>
          <w:rFonts w:ascii="Arial" w:hAnsi="Arial" w:cs="Arial"/>
          <w:spacing w:val="-2"/>
          <w:shd w:val="clear" w:color="auto" w:fill="FFFFFF"/>
          <w:lang w:val="ru-RU"/>
        </w:rPr>
        <w:t xml:space="preserve">после </w:t>
      </w:r>
      <w:proofErr w:type="spellStart"/>
      <w:r w:rsidR="00EA65B0" w:rsidRPr="00200F35">
        <w:rPr>
          <w:rStyle w:val="tld-sibling-0-19"/>
          <w:rFonts w:ascii="Arial" w:hAnsi="Arial" w:cs="Arial"/>
          <w:spacing w:val="-2"/>
          <w:shd w:val="clear" w:color="auto" w:fill="FFFFFF"/>
        </w:rPr>
        <w:t>расчетн</w:t>
      </w:r>
      <w:proofErr w:type="spellEnd"/>
      <w:r w:rsidR="00EA65B0" w:rsidRPr="00200F35">
        <w:rPr>
          <w:rStyle w:val="tld-sibling-0-19"/>
          <w:rFonts w:ascii="Arial" w:hAnsi="Arial" w:cs="Arial"/>
          <w:spacing w:val="-2"/>
          <w:shd w:val="clear" w:color="auto" w:fill="FFFFFF"/>
          <w:lang w:val="ru-RU"/>
        </w:rPr>
        <w:t>ого</w:t>
      </w:r>
      <w:r w:rsidR="00EA65B0" w:rsidRPr="00200F35">
        <w:rPr>
          <w:rStyle w:val="ng-star-inserted"/>
          <w:rFonts w:ascii="Arial" w:hAnsi="Arial" w:cs="Arial"/>
          <w:spacing w:val="-2"/>
          <w:shd w:val="clear" w:color="auto" w:fill="FFFFFF"/>
        </w:rPr>
        <w:t xml:space="preserve"> </w:t>
      </w:r>
      <w:proofErr w:type="spellStart"/>
      <w:r w:rsidR="00EA65B0" w:rsidRPr="00200F35">
        <w:rPr>
          <w:rStyle w:val="tld-word-0-21"/>
          <w:rFonts w:ascii="Arial" w:hAnsi="Arial" w:cs="Arial"/>
          <w:spacing w:val="-2"/>
          <w:shd w:val="clear" w:color="auto" w:fill="FFFFFF"/>
        </w:rPr>
        <w:t>период</w:t>
      </w:r>
      <w:proofErr w:type="spellEnd"/>
      <w:r w:rsidR="00EA65B0" w:rsidRPr="00200F35">
        <w:rPr>
          <w:rStyle w:val="tld-word-0-21"/>
          <w:rFonts w:ascii="Arial" w:hAnsi="Arial" w:cs="Arial"/>
          <w:spacing w:val="-2"/>
          <w:shd w:val="clear" w:color="auto" w:fill="FFFFFF"/>
          <w:lang w:val="ru-RU"/>
        </w:rPr>
        <w:t>а</w:t>
      </w:r>
      <w:r w:rsidR="00EA65B0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EA65B0" w:rsidRPr="00200F35">
        <w:rPr>
          <w:rStyle w:val="tld-word-0-9"/>
          <w:rFonts w:ascii="Arial" w:hAnsi="Arial" w:cs="Arial"/>
          <w:spacing w:val="-2"/>
          <w:shd w:val="clear" w:color="auto" w:fill="FFFFFF"/>
        </w:rPr>
        <w:t>торговой</w:t>
      </w:r>
      <w:proofErr w:type="spellEnd"/>
      <w:r w:rsidR="00EA65B0" w:rsidRPr="00200F35">
        <w:rPr>
          <w:rStyle w:val="ng-star-inserted"/>
          <w:rFonts w:ascii="Arial" w:hAnsi="Arial" w:cs="Arial"/>
          <w:spacing w:val="-2"/>
          <w:shd w:val="clear" w:color="auto" w:fill="FFFFFF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электроэнергетической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биржи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«Nord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Pool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Spot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AS»</w:t>
      </w:r>
      <w:r w:rsidR="00391BCF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r w:rsidR="00391BCF" w:rsidRPr="00200F35">
        <w:rPr>
          <w:rFonts w:ascii="Arial" w:eastAsia="Times New Roman" w:hAnsi="Arial" w:cs="Arial"/>
          <w:spacing w:val="-2"/>
          <w:lang w:val="ru-RU" w:eastAsia="lv-LV"/>
        </w:rPr>
        <w:t>в о</w:t>
      </w:r>
      <w:proofErr w:type="spellStart"/>
      <w:r w:rsidR="00A92415" w:rsidRPr="00200F35">
        <w:rPr>
          <w:rStyle w:val="tld-word-0-3"/>
          <w:rFonts w:ascii="Arial" w:hAnsi="Arial" w:cs="Arial"/>
          <w:spacing w:val="-2"/>
        </w:rPr>
        <w:t>бласти</w:t>
      </w:r>
      <w:proofErr w:type="spellEnd"/>
      <w:r w:rsidR="00A92415" w:rsidRPr="00200F35">
        <w:rPr>
          <w:rStyle w:val="ng-star-inserted"/>
          <w:rFonts w:ascii="Arial" w:hAnsi="Arial" w:cs="Arial"/>
          <w:spacing w:val="-2"/>
        </w:rPr>
        <w:t xml:space="preserve"> </w:t>
      </w:r>
      <w:r w:rsidR="00A92415" w:rsidRPr="00200F35">
        <w:rPr>
          <w:rStyle w:val="ng-star-inserted"/>
          <w:rFonts w:ascii="Arial" w:hAnsi="Arial" w:cs="Arial"/>
          <w:spacing w:val="-2"/>
          <w:lang w:val="ru-RU"/>
        </w:rPr>
        <w:t>торговли Латвии</w:t>
      </w:r>
      <w:r w:rsidR="00B218AE" w:rsidRPr="00200F35">
        <w:rPr>
          <w:rStyle w:val="ng-star-inserted"/>
          <w:rFonts w:ascii="Arial" w:hAnsi="Arial" w:cs="Arial"/>
          <w:spacing w:val="-2"/>
        </w:rPr>
        <w:t xml:space="preserve"> </w:t>
      </w:r>
      <w:r w:rsidR="00B218AE" w:rsidRPr="00200F35">
        <w:rPr>
          <w:rStyle w:val="ng-star-inserted"/>
          <w:rFonts w:ascii="Arial" w:hAnsi="Arial" w:cs="Arial"/>
          <w:spacing w:val="-2"/>
          <w:lang w:val="ru-RU"/>
        </w:rPr>
        <w:t>(далее – Биржевая цена)</w:t>
      </w:r>
      <w:r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опубликованной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на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веб-сайте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электроэнергетической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биржи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(</w:t>
      </w:r>
      <w:hyperlink r:id="rId5" w:history="1">
        <w:r w:rsidR="00B525A6" w:rsidRPr="00200F35">
          <w:rPr>
            <w:rStyle w:val="Hyperlink"/>
            <w:rFonts w:ascii="Arial" w:eastAsia="Calibri" w:hAnsi="Arial" w:cs="Arial"/>
          </w:rPr>
          <w:t>https://www.nordpoolgroup.com/Market-data1/Dayahead/Area-Prices/LV/Monthly/?view=table</w:t>
        </w:r>
      </w:hyperlink>
      <w:r w:rsidRPr="00200F35">
        <w:rPr>
          <w:rFonts w:ascii="Arial" w:eastAsia="Times New Roman" w:hAnsi="Arial" w:cs="Arial"/>
          <w:spacing w:val="-2"/>
          <w:lang w:eastAsia="lv-LV"/>
        </w:rPr>
        <w:t>)</w:t>
      </w:r>
      <w:r w:rsidR="005E5585" w:rsidRPr="00200F35">
        <w:rPr>
          <w:rFonts w:ascii="Arial" w:eastAsia="Times New Roman" w:hAnsi="Arial" w:cs="Arial"/>
          <w:spacing w:val="-2"/>
          <w:lang w:val="ru-RU" w:eastAsia="lv-LV"/>
        </w:rPr>
        <w:t>,</w:t>
      </w:r>
      <w:r w:rsidR="00EE0FB5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r w:rsidRPr="00200F35">
        <w:rPr>
          <w:rFonts w:ascii="Arial" w:eastAsia="Times New Roman" w:hAnsi="Arial" w:cs="Arial"/>
          <w:spacing w:val="-2"/>
          <w:lang w:eastAsia="lv-LV"/>
        </w:rPr>
        <w:t xml:space="preserve">к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которой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прибавляется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наценка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определенная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последним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гарантированным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поставщиком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>.</w:t>
      </w:r>
    </w:p>
    <w:p w14:paraId="219B26BC" w14:textId="77777777" w:rsidR="00455E5B" w:rsidRPr="00200F35" w:rsidRDefault="00455E5B" w:rsidP="00455E5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2"/>
          <w:lang w:eastAsia="lv-LV"/>
        </w:rPr>
      </w:pPr>
    </w:p>
    <w:p w14:paraId="300862B2" w14:textId="5829CF7D" w:rsidR="00A63BEE" w:rsidRPr="00200F35" w:rsidRDefault="00A63BEE" w:rsidP="00455E5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2"/>
          <w:lang w:eastAsia="lv-LV"/>
        </w:rPr>
      </w:pP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Установленная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VAS «Latvijas dzelzceļš»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гарантированная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наценка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на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поставку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с 1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марта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2022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года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на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весь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2022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год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составит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0,01314 EUR/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kWh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без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НДС.</w:t>
      </w:r>
    </w:p>
    <w:p w14:paraId="5709DC67" w14:textId="77777777" w:rsidR="00455E5B" w:rsidRPr="00200F35" w:rsidRDefault="00455E5B" w:rsidP="00455E5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2"/>
          <w:lang w:eastAsia="lv-LV"/>
        </w:rPr>
      </w:pPr>
    </w:p>
    <w:p w14:paraId="77AEF61F" w14:textId="77777777" w:rsidR="006E5E60" w:rsidRPr="00200F35" w:rsidRDefault="00A63BEE" w:rsidP="00455E5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pacing w:val="-2"/>
          <w:lang w:eastAsia="lv-LV"/>
        </w:rPr>
      </w:pPr>
      <w:r w:rsidRPr="00200F35">
        <w:rPr>
          <w:rFonts w:ascii="Arial" w:eastAsia="Times New Roman" w:hAnsi="Arial" w:cs="Arial"/>
          <w:spacing w:val="-2"/>
          <w:lang w:eastAsia="lv-LV"/>
        </w:rPr>
        <w:t xml:space="preserve">В 2022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году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r w:rsidR="00B218AE" w:rsidRPr="00200F35">
        <w:rPr>
          <w:rFonts w:ascii="Arial" w:eastAsia="Times New Roman" w:hAnsi="Arial" w:cs="Arial"/>
          <w:spacing w:val="-2"/>
          <w:lang w:val="ru-RU" w:eastAsia="lv-LV"/>
        </w:rPr>
        <w:t>Б</w:t>
      </w:r>
      <w:proofErr w:type="spellStart"/>
      <w:r w:rsidR="005E5585" w:rsidRPr="00200F35">
        <w:rPr>
          <w:rFonts w:ascii="Arial" w:eastAsia="Times New Roman" w:hAnsi="Arial" w:cs="Arial"/>
          <w:spacing w:val="-2"/>
          <w:lang w:eastAsia="lv-LV"/>
        </w:rPr>
        <w:t>иржевая</w:t>
      </w:r>
      <w:proofErr w:type="spellEnd"/>
      <w:r w:rsidR="005E5585"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="005E5585" w:rsidRPr="00200F35">
        <w:rPr>
          <w:rFonts w:ascii="Arial" w:eastAsia="Times New Roman" w:hAnsi="Arial" w:cs="Arial"/>
          <w:spacing w:val="-2"/>
          <w:lang w:eastAsia="lv-LV"/>
        </w:rPr>
        <w:t>цен</w:t>
      </w:r>
      <w:proofErr w:type="spellEnd"/>
      <w:r w:rsidR="00391BCF" w:rsidRPr="00200F35">
        <w:rPr>
          <w:rFonts w:ascii="Arial" w:eastAsia="Times New Roman" w:hAnsi="Arial" w:cs="Arial"/>
          <w:spacing w:val="-2"/>
          <w:lang w:val="ru-RU" w:eastAsia="lv-LV"/>
        </w:rPr>
        <w:t>а</w:t>
      </w:r>
      <w:r w:rsidRPr="00200F35">
        <w:rPr>
          <w:rFonts w:ascii="Arial" w:eastAsia="Times New Roman" w:hAnsi="Arial" w:cs="Arial"/>
          <w:spacing w:val="-2"/>
          <w:lang w:eastAsia="lv-LV"/>
        </w:rPr>
        <w:t>, EUR/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kWh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>:</w:t>
      </w:r>
    </w:p>
    <w:p w14:paraId="589FC571" w14:textId="11C6A5F0" w:rsidR="00A63BEE" w:rsidRDefault="00A63BEE" w:rsidP="00455E5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pacing w:val="-2"/>
          <w:lang w:eastAsia="lv-LV"/>
        </w:rPr>
      </w:pPr>
      <w:r w:rsidRPr="00200F35">
        <w:rPr>
          <w:rFonts w:ascii="Arial" w:eastAsia="Times New Roman" w:hAnsi="Arial" w:cs="Arial"/>
          <w:spacing w:val="-2"/>
          <w:lang w:eastAsia="lv-LV"/>
        </w:rPr>
        <w:t xml:space="preserve">в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марте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2022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года</w:t>
      </w:r>
      <w:proofErr w:type="spellEnd"/>
      <w:r w:rsidR="00B218AE" w:rsidRPr="00200F35">
        <w:rPr>
          <w:rFonts w:ascii="Arial" w:eastAsia="Times New Roman" w:hAnsi="Arial" w:cs="Arial"/>
          <w:spacing w:val="-2"/>
          <w:lang w:val="ru-RU" w:eastAsia="lv-LV"/>
        </w:rPr>
        <w:t xml:space="preserve"> </w:t>
      </w:r>
      <w:r w:rsidR="00F14558" w:rsidRPr="00200F35">
        <w:rPr>
          <w:rFonts w:ascii="Arial" w:eastAsia="Times New Roman" w:hAnsi="Arial" w:cs="Arial"/>
          <w:spacing w:val="-2"/>
          <w:lang w:val="ru-RU" w:eastAsia="lv-LV"/>
        </w:rPr>
        <w:t>–</w:t>
      </w:r>
      <w:r w:rsidR="00F14558" w:rsidRPr="00200F35">
        <w:rPr>
          <w:rFonts w:ascii="Arial" w:eastAsia="Times New Roman" w:hAnsi="Arial" w:cs="Arial"/>
          <w:spacing w:val="-2"/>
          <w:lang w:eastAsia="lv-LV"/>
        </w:rPr>
        <w:t xml:space="preserve"> 0,16722</w:t>
      </w:r>
    </w:p>
    <w:p w14:paraId="0CD8AD20" w14:textId="0A36E7C5" w:rsidR="00603DDE" w:rsidRPr="00200F35" w:rsidRDefault="00603DDE" w:rsidP="00455E5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pacing w:val="-2"/>
          <w:lang w:eastAsia="lv-LV"/>
        </w:rPr>
      </w:pPr>
      <w:r w:rsidRPr="00603DDE">
        <w:rPr>
          <w:rFonts w:ascii="Arial" w:eastAsia="Times New Roman" w:hAnsi="Arial" w:cs="Arial"/>
          <w:spacing w:val="-2"/>
          <w:lang w:eastAsia="lv-LV"/>
        </w:rPr>
        <w:t xml:space="preserve">в </w:t>
      </w:r>
      <w:proofErr w:type="spellStart"/>
      <w:r w:rsidRPr="00603DDE">
        <w:rPr>
          <w:rFonts w:ascii="Arial" w:eastAsia="Times New Roman" w:hAnsi="Arial" w:cs="Arial"/>
          <w:spacing w:val="-2"/>
          <w:lang w:eastAsia="lv-LV"/>
        </w:rPr>
        <w:t>апреле</w:t>
      </w:r>
      <w:proofErr w:type="spellEnd"/>
      <w:r w:rsidRPr="00603DDE">
        <w:rPr>
          <w:rFonts w:ascii="Arial" w:eastAsia="Times New Roman" w:hAnsi="Arial" w:cs="Arial"/>
          <w:spacing w:val="-2"/>
          <w:lang w:eastAsia="lv-LV"/>
        </w:rPr>
        <w:t xml:space="preserve"> 2022 </w:t>
      </w:r>
      <w:proofErr w:type="spellStart"/>
      <w:r w:rsidRPr="00603DDE">
        <w:rPr>
          <w:rFonts w:ascii="Arial" w:eastAsia="Times New Roman" w:hAnsi="Arial" w:cs="Arial"/>
          <w:spacing w:val="-2"/>
          <w:lang w:eastAsia="lv-LV"/>
        </w:rPr>
        <w:t>года</w:t>
      </w:r>
      <w:proofErr w:type="spellEnd"/>
      <w:r>
        <w:rPr>
          <w:rFonts w:ascii="Arial" w:eastAsia="Times New Roman" w:hAnsi="Arial" w:cs="Arial"/>
          <w:spacing w:val="-2"/>
          <w:lang w:eastAsia="lv-LV"/>
        </w:rPr>
        <w:t xml:space="preserve"> - </w:t>
      </w:r>
      <w:r w:rsidRPr="00603DDE">
        <w:rPr>
          <w:rFonts w:ascii="Arial" w:eastAsia="Times New Roman" w:hAnsi="Arial" w:cs="Arial"/>
          <w:spacing w:val="-2"/>
          <w:lang w:eastAsia="lv-LV"/>
        </w:rPr>
        <w:t>0,10940</w:t>
      </w:r>
    </w:p>
    <w:p w14:paraId="4F19D814" w14:textId="77777777" w:rsidR="00B525A6" w:rsidRPr="00200F35" w:rsidRDefault="00B525A6" w:rsidP="00455E5B">
      <w:pPr>
        <w:pStyle w:val="ListParagraph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2"/>
          <w:lang w:eastAsia="lv-LV"/>
        </w:rPr>
      </w:pPr>
    </w:p>
    <w:p w14:paraId="0F7085F6" w14:textId="77777777" w:rsidR="00455E5B" w:rsidRPr="00200F35" w:rsidRDefault="00A63BEE" w:rsidP="00455E5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2"/>
          <w:lang w:eastAsia="lv-LV"/>
        </w:rPr>
      </w:pPr>
      <w:r w:rsidRPr="00200F35">
        <w:rPr>
          <w:rFonts w:ascii="Arial" w:eastAsia="Times New Roman" w:hAnsi="Arial" w:cs="Arial"/>
          <w:spacing w:val="-2"/>
          <w:lang w:eastAsia="lv-LV"/>
        </w:rPr>
        <w:t xml:space="preserve">В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случае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если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пользователь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имеет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самовольное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подключение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к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электросетям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оператора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системы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или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аппарат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коммерческого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учета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поврежден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оператор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системы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при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осуществлении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перерасчета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устанавливает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цену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электроэнергии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в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размере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последней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гарантированной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цены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поставки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в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месяц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констатации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факта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>.</w:t>
      </w:r>
    </w:p>
    <w:p w14:paraId="454E5F2C" w14:textId="77777777" w:rsidR="00455E5B" w:rsidRPr="00200F35" w:rsidRDefault="00455E5B" w:rsidP="00455E5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2"/>
          <w:lang w:eastAsia="lv-LV"/>
        </w:rPr>
      </w:pPr>
    </w:p>
    <w:p w14:paraId="6961C5A8" w14:textId="6ACFE9EF" w:rsidR="00A63BEE" w:rsidRPr="00200F35" w:rsidRDefault="00A63BEE" w:rsidP="00455E5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2"/>
          <w:lang w:eastAsia="lv-LV"/>
        </w:rPr>
      </w:pP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Следует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учитывать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что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цена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последней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гарантированной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поставки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электроэнергии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является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только</w:t>
      </w:r>
      <w:proofErr w:type="spellEnd"/>
      <w:r w:rsidR="00787C44" w:rsidRPr="00200F35">
        <w:rPr>
          <w:rFonts w:ascii="Arial" w:eastAsia="Times New Roman" w:hAnsi="Arial" w:cs="Arial"/>
          <w:spacing w:val="-2"/>
          <w:lang w:val="ru-RU" w:eastAsia="lv-LV"/>
        </w:rPr>
        <w:t xml:space="preserve"> частью</w:t>
      </w:r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общего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платежа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за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электричество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.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Общий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платеж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за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электричество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образуют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расходы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на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электричество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плата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за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услуги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оператора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системы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,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компоненты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обязательной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</w:t>
      </w:r>
      <w:proofErr w:type="spellStart"/>
      <w:r w:rsidRPr="00200F35">
        <w:rPr>
          <w:rFonts w:ascii="Arial" w:eastAsia="Times New Roman" w:hAnsi="Arial" w:cs="Arial"/>
          <w:spacing w:val="-2"/>
          <w:lang w:eastAsia="lv-LV"/>
        </w:rPr>
        <w:t>закупки</w:t>
      </w:r>
      <w:proofErr w:type="spellEnd"/>
      <w:r w:rsidRPr="00200F35">
        <w:rPr>
          <w:rFonts w:ascii="Arial" w:eastAsia="Times New Roman" w:hAnsi="Arial" w:cs="Arial"/>
          <w:spacing w:val="-2"/>
          <w:lang w:eastAsia="lv-LV"/>
        </w:rPr>
        <w:t xml:space="preserve"> и НДС.</w:t>
      </w:r>
    </w:p>
    <w:p w14:paraId="66E8ADD2" w14:textId="77777777" w:rsidR="00A63BEE" w:rsidRPr="00200F35" w:rsidRDefault="00A63BEE" w:rsidP="00B525A6">
      <w:pPr>
        <w:shd w:val="clear" w:color="auto" w:fill="FFFFFF"/>
        <w:spacing w:after="0" w:line="276" w:lineRule="auto"/>
        <w:rPr>
          <w:rFonts w:ascii="Arial" w:eastAsia="Times New Roman" w:hAnsi="Arial" w:cs="Arial"/>
          <w:spacing w:val="-2"/>
          <w:lang w:eastAsia="lv-LV"/>
        </w:rPr>
      </w:pPr>
    </w:p>
    <w:p w14:paraId="59B69A14" w14:textId="076151CB" w:rsidR="007770D6" w:rsidRPr="00200F35" w:rsidRDefault="007770D6" w:rsidP="00B525A6">
      <w:pPr>
        <w:shd w:val="clear" w:color="auto" w:fill="FFFFFF"/>
        <w:spacing w:after="0" w:line="276" w:lineRule="auto"/>
        <w:rPr>
          <w:rFonts w:ascii="Arial" w:hAnsi="Arial" w:cs="Arial"/>
        </w:rPr>
      </w:pPr>
    </w:p>
    <w:sectPr w:rsidR="007770D6" w:rsidRPr="00200F35" w:rsidSect="001E77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2D14"/>
    <w:multiLevelType w:val="hybridMultilevel"/>
    <w:tmpl w:val="2A94D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33"/>
    <w:rsid w:val="001E7768"/>
    <w:rsid w:val="00200F35"/>
    <w:rsid w:val="00381FD3"/>
    <w:rsid w:val="00391BCF"/>
    <w:rsid w:val="00455E5B"/>
    <w:rsid w:val="004E3973"/>
    <w:rsid w:val="005E5585"/>
    <w:rsid w:val="00603DDE"/>
    <w:rsid w:val="0061094D"/>
    <w:rsid w:val="00615E70"/>
    <w:rsid w:val="006E5E60"/>
    <w:rsid w:val="007770D6"/>
    <w:rsid w:val="00787C44"/>
    <w:rsid w:val="007F43C5"/>
    <w:rsid w:val="00832233"/>
    <w:rsid w:val="008534FF"/>
    <w:rsid w:val="00902C84"/>
    <w:rsid w:val="00994B57"/>
    <w:rsid w:val="00A63BEE"/>
    <w:rsid w:val="00A92415"/>
    <w:rsid w:val="00AE16FA"/>
    <w:rsid w:val="00B218AE"/>
    <w:rsid w:val="00B36D31"/>
    <w:rsid w:val="00B525A6"/>
    <w:rsid w:val="00EA65B0"/>
    <w:rsid w:val="00EE0FB5"/>
    <w:rsid w:val="00F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BDEDD"/>
  <w15:chartTrackingRefBased/>
  <w15:docId w15:val="{437044CD-32FF-41C7-BE5E-6EBB8F8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525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5A6"/>
    <w:pPr>
      <w:ind w:left="720"/>
      <w:contextualSpacing/>
    </w:pPr>
  </w:style>
  <w:style w:type="character" w:customStyle="1" w:styleId="ng-star-inserted">
    <w:name w:val="ng-star-inserted"/>
    <w:basedOn w:val="DefaultParagraphFont"/>
    <w:rsid w:val="00A92415"/>
  </w:style>
  <w:style w:type="character" w:customStyle="1" w:styleId="tld-word-0-2">
    <w:name w:val="tld-word-0-2"/>
    <w:basedOn w:val="DefaultParagraphFont"/>
    <w:rsid w:val="00A92415"/>
  </w:style>
  <w:style w:type="character" w:customStyle="1" w:styleId="tld-word-0-3">
    <w:name w:val="tld-word-0-3"/>
    <w:basedOn w:val="DefaultParagraphFont"/>
    <w:rsid w:val="00A92415"/>
  </w:style>
  <w:style w:type="character" w:customStyle="1" w:styleId="tld-word-0-4">
    <w:name w:val="tld-word-0-4"/>
    <w:basedOn w:val="DefaultParagraphFont"/>
    <w:rsid w:val="00A92415"/>
  </w:style>
  <w:style w:type="character" w:customStyle="1" w:styleId="tld-word-0-0">
    <w:name w:val="tld-word-0-0"/>
    <w:basedOn w:val="DefaultParagraphFont"/>
    <w:rsid w:val="00EA65B0"/>
  </w:style>
  <w:style w:type="character" w:customStyle="1" w:styleId="tld-word-0-1">
    <w:name w:val="tld-word-0-1"/>
    <w:basedOn w:val="DefaultParagraphFont"/>
    <w:rsid w:val="00EA65B0"/>
  </w:style>
  <w:style w:type="character" w:customStyle="1" w:styleId="tld-sibling-0-3">
    <w:name w:val="tld-sibling-0-3"/>
    <w:basedOn w:val="DefaultParagraphFont"/>
    <w:rsid w:val="00EA65B0"/>
  </w:style>
  <w:style w:type="character" w:customStyle="1" w:styleId="tld-sibling-0-2">
    <w:name w:val="tld-sibling-0-2"/>
    <w:basedOn w:val="DefaultParagraphFont"/>
    <w:rsid w:val="00EA65B0"/>
  </w:style>
  <w:style w:type="character" w:customStyle="1" w:styleId="tld-word-0-5">
    <w:name w:val="tld-word-0-5"/>
    <w:basedOn w:val="DefaultParagraphFont"/>
    <w:rsid w:val="00EA65B0"/>
  </w:style>
  <w:style w:type="character" w:customStyle="1" w:styleId="tld-word-0-7">
    <w:name w:val="tld-word-0-7"/>
    <w:basedOn w:val="DefaultParagraphFont"/>
    <w:rsid w:val="00EA65B0"/>
  </w:style>
  <w:style w:type="character" w:customStyle="1" w:styleId="tld-word-0-8">
    <w:name w:val="tld-word-0-8"/>
    <w:basedOn w:val="DefaultParagraphFont"/>
    <w:rsid w:val="00EA65B0"/>
  </w:style>
  <w:style w:type="character" w:customStyle="1" w:styleId="tld-word-0-9">
    <w:name w:val="tld-word-0-9"/>
    <w:basedOn w:val="DefaultParagraphFont"/>
    <w:rsid w:val="00EA65B0"/>
  </w:style>
  <w:style w:type="character" w:customStyle="1" w:styleId="tld-word-0-10">
    <w:name w:val="tld-word-0-10"/>
    <w:basedOn w:val="DefaultParagraphFont"/>
    <w:rsid w:val="00EA65B0"/>
  </w:style>
  <w:style w:type="character" w:customStyle="1" w:styleId="tld-word-0-12">
    <w:name w:val="tld-word-0-12"/>
    <w:basedOn w:val="DefaultParagraphFont"/>
    <w:rsid w:val="00EA65B0"/>
  </w:style>
  <w:style w:type="character" w:customStyle="1" w:styleId="tld-word-0-14">
    <w:name w:val="tld-word-0-14"/>
    <w:basedOn w:val="DefaultParagraphFont"/>
    <w:rsid w:val="00EA65B0"/>
  </w:style>
  <w:style w:type="character" w:customStyle="1" w:styleId="tld-word-0-15">
    <w:name w:val="tld-word-0-15"/>
    <w:basedOn w:val="DefaultParagraphFont"/>
    <w:rsid w:val="00EA65B0"/>
  </w:style>
  <w:style w:type="character" w:customStyle="1" w:styleId="tld-word-0-16">
    <w:name w:val="tld-word-0-16"/>
    <w:basedOn w:val="DefaultParagraphFont"/>
    <w:rsid w:val="00EA65B0"/>
  </w:style>
  <w:style w:type="character" w:customStyle="1" w:styleId="tld-word-0-17">
    <w:name w:val="tld-word-0-17"/>
    <w:basedOn w:val="DefaultParagraphFont"/>
    <w:rsid w:val="00EA65B0"/>
  </w:style>
  <w:style w:type="character" w:customStyle="1" w:styleId="tld-word-0-18">
    <w:name w:val="tld-word-0-18"/>
    <w:basedOn w:val="DefaultParagraphFont"/>
    <w:rsid w:val="00EA65B0"/>
  </w:style>
  <w:style w:type="character" w:customStyle="1" w:styleId="tld-sibling-0-20">
    <w:name w:val="tld-sibling-0-20"/>
    <w:basedOn w:val="DefaultParagraphFont"/>
    <w:rsid w:val="00EA65B0"/>
  </w:style>
  <w:style w:type="character" w:customStyle="1" w:styleId="tld-sibling-0-19">
    <w:name w:val="tld-sibling-0-19"/>
    <w:basedOn w:val="DefaultParagraphFont"/>
    <w:rsid w:val="00EA65B0"/>
  </w:style>
  <w:style w:type="character" w:customStyle="1" w:styleId="tld-word-0-21">
    <w:name w:val="tld-word-0-21"/>
    <w:basedOn w:val="DefaultParagraphFont"/>
    <w:rsid w:val="00EA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dpoolgroup.com/Market-data1/Dayahead/Area-Prices/LV/Monthly/?view=t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Dmitrijeva</dc:creator>
  <cp:keywords/>
  <dc:description/>
  <cp:lastModifiedBy>Ieva Kārkliņa</cp:lastModifiedBy>
  <cp:revision>2</cp:revision>
  <dcterms:created xsi:type="dcterms:W3CDTF">2022-05-02T07:37:00Z</dcterms:created>
  <dcterms:modified xsi:type="dcterms:W3CDTF">2022-05-02T07:37:00Z</dcterms:modified>
</cp:coreProperties>
</file>